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exemption of certain property from municipal drainage service charges.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552.053, Local Government Code, is amended by adding Subsections (d-2) and (d-3)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may exempt property from all or a portion of drainage charges under Section 552.047 if the property is used as the principal residence of an individual who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disabled as defined by Section 11.13(m), Tax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65 years of age or older;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veteran of the armed services of the United States;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armed services of the United States  on active deployment.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municipality may impose additional eligibility requirements for an exemption authorized under Subsection (d-2).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</w:t>
      </w:r>
      <w:r>
        <w:t xml:space="preserve"> Constitution.  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