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Muñoz, Jr.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49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collection of delinquent ad valorem taxes.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Chapter 31, Tax Code, is amended by adding Section 31.074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31.074.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APPLICATION OF TAX PAYMENTS. </w:t>
      </w:r>
      <w:r>
        <w:rPr>
          <w:u w:val="single"/>
        </w:rPr>
        <w:t xml:space="preserve"> </w:t>
      </w:r>
      <w:r>
        <w:rPr>
          <w:u w:val="single"/>
        </w:rPr>
        <w:t xml:space="preserve">The collector of a taxing unit shall apply a payment made by a property owner to the amount of tax due before applying any portion of the payment to a penalty or interest owed by the property owner, unless the property owner provides written instructions for a different application of the payment.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33.01, Tax Code, is amended by adding Subsection (g)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(g)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Notwithstanding any other provision of law, the total amount of penalties and interest on a delinquent tax that a person is liable for may not exceed $500, regardless of the actual amount of the penalties incurred or interest accrued on the delinquent tax as otherwise calculated under law.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Section 31.074, Tax Code, as added by this Act, applies only to a payment received on or after the effective date of this 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4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49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