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88S20175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and reporting of the number of residence homesteads of elderly or disabled persons that are subject to the limitation on the total amount of ad valorem taxes that may be imposed on the properties by school districts and of the number of residence homesteads of certain property owners for which the owner deferred collection of a tax, abated a suit to collect a delinquent tax, or abated a sale to foreclose a tax lien.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11.26, Tax Code, is amended by adding Subsections (e-1) and (e-2)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each school district in an appraisal district,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number of residence homesteads subject to the limitation on tax increases required by this section for the current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1 of that tax year, report the number to the comptroller in the form prescribed by the comptroller.</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Not later than November 1 of each tax year, the comptroller shall report to the lieutenant governor, the speaker of the house of representatives, and each member of the legislature the total number of residence homesteads in the state reported to the comptroller under Subsection (e-1) for that tax year. </w:t>
      </w:r>
      <w:r>
        <w:rPr>
          <w:u w:val="single"/>
        </w:rPr>
        <w:t xml:space="preserve"> </w:t>
      </w:r>
      <w:r>
        <w:rPr>
          <w:u w:val="single"/>
        </w:rPr>
        <w:t xml:space="preserve">The report must include the number of those residence homesteads in each school district or a reference to where the information for each school district may be accessed.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33.06, Tax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taxing unit in an appraisal district,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number of residence homesteads for which the property owner deferred collection of a tax, abated a suit to collect a delinquent tax, or abated a sale to foreclose a tax lien under this section for the current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1 of that tax year, report the number to the comptroller in the form prescribed by the comptroller.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November 1 of each tax year, the comptroller shall report to the lieutenant governor, the speaker of the house of representatives, and each member of the legislature the total number of residence homesteads in the state reported to the comptroller under Subsection (i) for that tax year. </w:t>
      </w:r>
      <w:r>
        <w:rPr>
          <w:u w:val="single"/>
        </w:rPr>
        <w:t xml:space="preserve"> </w:t>
      </w:r>
      <w:r>
        <w:rPr>
          <w:u w:val="single"/>
        </w:rPr>
        <w:t xml:space="preserve">The report must include the number of those residence homesteads in each taxing unit or a reference to where the information for each taxing unit may be accessed.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