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abolish ad valorem taxes.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of this state may not impose an ad valorem tax on real or personal property in this state for any purpose on or after January 1, 2029.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state takes full responsibility for the guarantee of the repayment of all bonds issued by a school district before November 7, 2023, and secured by the revenue from the ad valorem taxes imposed by those entities before January 1, 2029. The legislature shall enact laws for the implementation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abolish ad valorem taxes."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