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H.J.R.</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to establish the property tax relief to rental households fund and authorize the legislature to provide payments to rental households from that fund based on a proportion of rent paid, and to except certain appropriations to pay for school district ad valorem tax relief and property tax relief payments to rental households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Subject to subsection (c-1), t</w:t>
      </w:r>
      <w:r>
        <w:t xml:space="preserve">he </w:t>
      </w:r>
      <w:r>
        <w:rPr>
          <w:u w:val="single"/>
        </w:rPr>
        <w:t xml:space="preserve">greater of $100,000, or a greater amount prescribed by the legislature by general law, or 25 percent</w:t>
      </w:r>
      <w:r>
        <w:t xml:space="preserve"> [</w:t>
      </w:r>
      <w:r>
        <w:rPr>
          <w:strike/>
        </w:rPr>
        <w:t xml:space="preserve">amount of $40,000</w:t>
      </w:r>
      <w:r>
        <w:t xml:space="preserve">] of the market value of the residence homestead of a married or unmarried adult, including one living alone, is exempt from ad valorem taxation for general elementary and secondary public school purposes.  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The legislature by general law may base the amount of and condition eligibility for the additional exemption authorized by this subsection for disabled persons and for persons 65 years of age or older on economic need.  An eligible disabled person who is 65 years of age or older may not receive both exemptions from a school district but may choose either.  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The legislature shall provide for formulas to protect school districts against all or part of the revenue loss incurred by the implementation of this subsection, Subsection (d) of this section, and Section 1-d-1 of this article.  The legislature by general law may define residence homestead for purposes of this section.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exemption of 25 percent of the appraised value of the adult's residence homestead may not exceed $200,000, or a greater amount prescribed by the legislature by general law, of the appraised value of the adult's residence homestead.</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  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  The legislature, by general law, may provide for the transfer of all or a proportionate amount of a limitation provided by this subsection for a person who qualifies for the limitation and establishes a different residence homestead.  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  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  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VIII, Texas Constitution, is amended by adding Section 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property tax relief to rental households fund is created, and the comptroller of public accounts shall transfer into it $3.8 billion for the fiscal biennium beginning September 1, 2023.  The Legislature may by general law direct general revenue into the fund and authorize the comptroller of public accounts to make direct payments from the fund to rental households to provide property tax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may prescribe additional eligibility requirements for distributions from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may prescribe procedures for the administration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and for the purpose of paying for property tax relief to rental households through the comptroller of public accounts as described in Article VIII, Texas Constitution, Section 30,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2nd Called Session, 2023,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to establish the property tax relief to rental households fund and authorize the legislature to provide payments to rental households from that fund based on a proportion of rent paid, and to except certain appropriations to pay for school district ad valorem tax relief and property tax relief payments to rental households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 adding Section 30 to Article VIII of this constitution takes effect beginning with the tax year beginning January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increase the amount of the residence homestead exemption from ad valorem taxation for public school purposes; to adjust the amount of the limitation on ad valorem taxes for public school purposes imposed on the residence homestead of a person who is disabled or is 65 years of age or older to reflect increases in certain exemption amounts; to establish the property tax relief to rental households fund and authorize the legislature to provide payments to rental households from that fund based on a proportion of rent paid, and to except certain appropriations to pay for school district ad valorem tax relief and property tax relief payments to rental households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