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2493E">
      <w:pPr>
        <w:spacing w:line="480" w:lineRule="auto"/>
        <w:jc w:val="center"/>
      </w:pPr>
      <w:r>
        <w:rPr>
          <w:b/>
        </w:rPr>
        <w:t xml:space="preserve">SENATE RESOLUTION NO. 14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Ehlers-Danlos Syndromes and Hypermobility Spectrum Disorders Awareness Month took place in May 2023;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</w:t>
      </w:r>
      <w:r>
        <w:t xml:space="preserve"> Ehlers-Danlos syndromes (EDS) include 13 heritable connective tissue disorders that together affect an estimated 1 in 5,000 people; each disorder has its own set of symptoms, but all types of EDS are characterized by joint hypermobility, skin hyperextensibility, and tissue fragility;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Hypermobility spectrum disorders (HSD) are connective tissue disorders that cause joint hypermobility, instability, injury, and pain; in addition, other symptoms such as fatigue, headaches, gastrointestinal problems, and autonomic dysfunction are often a result of HSD;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There is currently no available cure for any type of EDS or HSD, and treatments typically focus on addressing symptoms; because the conditions can affect many different areas of the body, patients often require multiple providers in different specialties to manage their care;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Numerous patients impacted by EDS and HSD have limited access to professionals who are knowledgeable about these health issues; increased awareness about each condition is necessary to help diagnose patients, improve symptom management, and promote research initiatives;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More work remains to be done to ensure that all EDS and HSD patients have access to quality health care, and the observance of Ehlers-Danlos Syndromes and Hypermobility Spectrum Disorders Awareness Month unites people across Texas and around the world in their commitment to that endeavor; now, therefore, be it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the Senate of the State of Texas, 88th Legislature, 2nd Called Session, hereby recognize May 2023 as Ehlers-Danlos Syndromes and Hypermobility Spectrum Disorders Awareness Month.</w:t>
      </w:r>
    </w:p>
    <w:p w:rsidR="003F3435" w:rsidRDefault="003F3435"/>
    <w:p w:rsidR="003F3435" w:rsidRDefault="0032493E">
      <w:pPr>
        <w:spacing w:line="480" w:lineRule="auto"/>
        <w:jc w:val="right"/>
      </w:pPr>
      <w:r>
        <w:t xml:space="preserve">Parker</w:t>
      </w:r>
    </w:p>
    <w:p w:rsidR="003F3435" w:rsidRDefault="0032493E">
      <w:pPr>
        <w:ind w:start="4320"/>
        <w:jc w:val="left"/>
      </w:pPr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July 5, 2023.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14</w:t>
    </w:r>
  </w:p>
  <w:p w:rsidR="003F3435" w:rsidRDefault="003F3435"/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