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88S10223 TBO-D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Parker</w:t>
      </w:r>
      <w:r xml:space="preserve">
        <w:tab wTab="150" tlc="none" cTlc="0"/>
      </w:r>
      <w:r>
        <w:t xml:space="preserve">S.R.</w:t>
      </w:r>
      <w:r xml:space="preserve">
        <w:t> </w:t>
      </w:r>
      <w:r>
        <w:t xml:space="preserve">No.</w:t>
      </w:r>
      <w:r xml:space="preserve">
        <w:t> </w:t>
      </w:r>
      <w:r>
        <w:t xml:space="preserve">14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R E S O L U T I O N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Ehlers-Danlos Syndromes and Hypermobility Spectrum Disorders Awareness Month took place in May 2023;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Ehlers-Danlos syndromes (EDS) include 13 heritable connective tissue disorders that together affect an estimated 1 in 5,000 people; each disorder has its own set of symptoms, but all types of EDS are characterized by joint hypermobility, skin hyperextensibility, and tissue fragility;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Hypermobility spectrum disorders (HSD) are connective tissue disorders that cause joint hypermobility, instability, injury, and pain; in addition, other symptoms such as fatigue, headaches, gastrointestinal problems, and autonomic dysfunction are often a result of HSD;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There is currently no available cure for any type of EDS or HSD, and treatments typically focus on addressing symptoms; because the conditions can affect many different areas of the body, patients often require multiple providers in different specialties to manage their care;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Numerous patients impacted by EDS and HSD have limited access to professionals who are knowledgeable about these health issues; increased awareness about each condition is necessary to help diagnose patients, improve symptom management, and promote research initiatives;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More work remains to be done to ensure that all EDS and HSD patients have access to quality health care, and the observance of Ehlers-Danlos Syndromes and Hypermobility Spectrum Disorders Awareness Month unites people across Texas and around the world in their commitment to that endeavor; now, therefore, be it</w:t>
      </w:r>
    </w:p>
    <w:p w:rsidR="003F3435" w:rsidRDefault="0032493E">
      <w:pPr>
        <w:spacing w:line="480" w:lineRule="auto"/>
        <w:ind w:firstLine="720"/>
        <w:jc w:val="both"/>
      </w:pPr>
      <w:r>
        <w:t xml:space="preserve">RESOLVED, That the Senate of the 88th Texas Legislature, 1st Called Session, hereby recognize May 2023 as Ehlers-Danlos Syndromes and Hypermobility Spectrum Disorders Awareness Month.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S.R.</w:t>
    </w:r>
    <w:r xml:space="preserve">
      <w:t> </w:t>
    </w:r>
    <w:r>
      <w:t xml:space="preserve">No.</w:t>
    </w:r>
    <w:r xml:space="preserve">
      <w:t> </w:t>
    </w:r>
    <w:r>
      <w:t xml:space="preserve">14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