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 et al.</w:t>
      </w:r>
      <w:r>
        <w:t xml:space="preserve"> (Senate Sponsor</w:t>
      </w:r>
      <w:r xml:space="preserve">
        <w:t> </w:t>
      </w:r>
      <w:r>
        <w:t xml:space="preserve">-</w:t>
      </w:r>
      <w:r xml:space="preserve">
        <w:t> </w:t>
      </w:r>
      <w:r>
        <w:t xml:space="preserve">Birdwell)</w:t>
      </w:r>
      <w:r xml:space="preserve">
        <w:tab wTab="150" tlc="none" cTlc="0"/>
      </w:r>
      <w:r>
        <w:t xml:space="preserve">H.B.</w:t>
      </w:r>
      <w:r xml:space="preserve">
        <w:t> </w:t>
      </w:r>
      <w:r>
        <w:t xml:space="preserve">No.</w:t>
      </w:r>
      <w:r xml:space="preserve">
        <w:t> </w:t>
      </w:r>
      <w:r>
        <w:t xml:space="preserve">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October</w:t>
      </w:r>
      <w:r xml:space="preserve">
        <w:t> </w:t>
      </w:r>
      <w:r>
        <w:t xml:space="preserve">26,</w:t>
      </w:r>
      <w:r xml:space="preserve">
        <w:t> </w:t>
      </w:r>
      <w:r>
        <w:t xml:space="preserve">2023; October</w:t>
      </w:r>
      <w:r xml:space="preserve">
        <w:t> </w:t>
      </w:r>
      <w:r>
        <w:t xml:space="preserve">26,</w:t>
      </w:r>
      <w:r xml:space="preserve">
        <w:t> </w:t>
      </w:r>
      <w:r>
        <w:t xml:space="preserve">2023, read first time and referred to Committee on Border Security; November</w:t>
      </w:r>
      <w:r xml:space="preserve">
        <w:t> </w:t>
      </w:r>
      <w:r>
        <w:t xml:space="preserve">2,</w:t>
      </w:r>
      <w:r xml:space="preserve">
        <w:t> </w:t>
      </w:r>
      <w:r>
        <w:t xml:space="preserve">2023, reported adversely, with favorable Committee Substitute by the following vote:</w:t>
      </w:r>
      <w:r>
        <w:t xml:space="preserve"> </w:t>
      </w:r>
      <w:r>
        <w:t xml:space="preserve"> </w:t>
      </w:r>
      <w:r>
        <w:t xml:space="preserve">Yeas 3, Nays</w:t>
      </w:r>
      <w:r xml:space="preserve">
        <w:t> </w:t>
      </w:r>
      <w:r>
        <w:t xml:space="preserve">2; November</w:t>
      </w:r>
      <w:r xml:space="preserve">
        <w:t> </w:t>
      </w:r>
      <w:r>
        <w:t xml:space="preserve">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criminal offense of improper entry from a foreign nation and indemnification of certain claims relating to the enforcement of that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IMPROPER ENTRY FROM FOREIGN NATION.  (a)  In this section, "alien" has the meaning assigned by 8 U.S.C. Section 1101, as that provision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an alien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or attempts to enter this state from a foreign nation at any location other than a lawful point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eludes examination or inspection by United States immigration officers;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granted a federal immigration benefit entitling the actor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(d)(1), the following federal programs do not confer federal immigration benefits entitling the actor to lawful presence in the United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Subdivision (1) or Subsection (d)(3).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actor is pending.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enforcement officer of the Department of Public Safety who arrests a person for an offense under this section shall, to the extent feasible, detain the person in a facility established under Operation Lone Star or a similar border security operation of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peace officer may not arrest a person for an offense under this section unless the officer has probable cause to believe that the person engaged in the conduct constituting the offense.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On conviction of an offense under this section, the judge shall enter in the judgment in the case an order requiring that the person be returned to federal authorities at the nearest port of entry for return to the person's country of origin or the foreign nation from which the person entered or attempted to enter.  An order issued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takes effect on completion of a term of confinement or imprisonment imposed by the judgment;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include the manner of transportation of the person to the port of entry and the state agency responsible for transporting the person and monitoring compliance with the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5, Civil Practice and Remedies Code, is amended by adding Chapter 117 to read as follows:</w:t>
      </w:r>
    </w:p>
    <w:p w:rsidR="003F3435" w:rsidRDefault="0032493E">
      <w:pPr>
        <w:spacing w:line="480" w:lineRule="auto"/>
        <w:jc w:val="center"/>
      </w:pPr>
      <w:r>
        <w:rPr>
          <w:u w:val="single"/>
        </w:rPr>
        <w:t xml:space="preserve">CHAPTER 117.  INDEMNIFICATION OF CERTAIN CLAIMS RELATING TO ENFORCEMENT OF OFFENSE OF IMPROPER ENTRY FROM FOREIGN 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117.001.</w:t>
      </w:r>
      <w:r>
        <w:rPr>
          <w:u w:val="single"/>
        </w:rPr>
        <w:t xml:space="preserve"> </w:t>
      </w:r>
      <w:r>
        <w:rPr>
          <w:u w:val="single"/>
        </w:rPr>
        <w:t xml:space="preserve"> </w:t>
      </w:r>
      <w:r>
        <w:rPr>
          <w:u w:val="single"/>
        </w:rPr>
        <w:t xml:space="preserve">DEFINITION.  In this chapter, "damages" includes any and all damages, fines, fees, penalties, court costs, attorney's fees, or other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117.002.</w:t>
      </w:r>
      <w:r>
        <w:rPr>
          <w:u w:val="single"/>
        </w:rPr>
        <w:t xml:space="preserve"> </w:t>
      </w:r>
      <w:r>
        <w:rPr>
          <w:u w:val="single"/>
        </w:rPr>
        <w:t xml:space="preserve"> </w:t>
      </w:r>
      <w:r>
        <w:rPr>
          <w:u w:val="single"/>
        </w:rPr>
        <w:t xml:space="preserve">LOCAL GOVERNMENT INDEMNIFICATION OF LOCAL GOVERNMENT OFFICIALS, EMPLOYEES, AND CONTRACTORS. </w:t>
      </w:r>
      <w:r>
        <w:rPr>
          <w:u w:val="single"/>
        </w:rPr>
        <w:t xml:space="preserve"> </w:t>
      </w:r>
      <w:r>
        <w:rPr>
          <w:u w:val="single"/>
        </w:rPr>
        <w:t xml:space="preserve">(a) </w:t>
      </w:r>
      <w:r>
        <w:rPr>
          <w:u w:val="single"/>
        </w:rPr>
        <w:t xml:space="preserve"> </w:t>
      </w:r>
      <w:r>
        <w:rPr>
          <w:u w:val="single"/>
        </w:rPr>
        <w:t xml:space="preserve">Unless the court or jury determines that the official, employee, or contractor acted in bad faith, with conscious indifference, or with recklessness, a local government shall indemnify an official, employee, or contractor of the local government for damages arising from a cause of action resulting from an action taken by the official, employee, or contractor to enforce Section 38.20, Penal Code,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Indemnification payments made under Subsection (a) by a local government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$100,000 to any one person or $300,000 for any single occurrence in the case of personal injury or death;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 for a single occurrence of property damage.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shall indemnify an official, employee, or contractor of the local government for reasonable attorney's fees incurred in defense of a criminal prosecution against the official, employee, or contractor for an action taken by the official, employee, or contractor to enforce Section 38.20, Penal Code,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waive any statutory limits on damages under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117.003.</w:t>
      </w:r>
      <w:r>
        <w:rPr>
          <w:u w:val="single"/>
        </w:rPr>
        <w:t xml:space="preserve"> </w:t>
      </w:r>
      <w:r>
        <w:rPr>
          <w:u w:val="single"/>
        </w:rPr>
        <w:t xml:space="preserve"> </w:t>
      </w:r>
      <w:r>
        <w:rPr>
          <w:u w:val="single"/>
        </w:rPr>
        <w:t xml:space="preserve">STATE INDEMNIFICATION OF STATE OFFICIALS, EMPLOYEES, AND CONTRACTORS; ATTORNEY GENERAL REPRESENTATION.  (a)  Unless the court or jury determines that the state official, employee, or contractor acted in bad faith, with conscious indifference, or with recklessness, the state shall indemnify an elected or appointed state official or a state employee or contractor for damages arising from a cause of action resulting from an action taken by the official, employee, or contractor to enforce Section 38.20, Penal Code,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indemnification under Subsection (a) is not subject to any indemnification limits under state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shall indemnify a state official, employee, or contractor for reasonable attorney's fees incurred in defense of a criminal prosecution against the official, employee, or contractor for an action taken by the official, employee, or contractor to enforce Section 38.20, Penal Code,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official, employee, or contractor who may be entitled to indemnification under Subsection (a) is entitled to representation by the attorney general, subject to Chapter 104, in an action in connection with which the official, employee, or contractor may be entitled to that indemnification.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waive any statutory limits on damages under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117.004.</w:t>
      </w:r>
      <w:r>
        <w:rPr>
          <w:u w:val="single"/>
        </w:rPr>
        <w:t xml:space="preserve"> </w:t>
      </w:r>
      <w:r>
        <w:rPr>
          <w:u w:val="single"/>
        </w:rPr>
        <w:t xml:space="preserve"> </w:t>
      </w:r>
      <w:r>
        <w:rPr>
          <w:u w:val="single"/>
        </w:rPr>
        <w:t xml:space="preserve">APPEAL TO SUPREME COURT. </w:t>
      </w:r>
      <w:r>
        <w:rPr>
          <w:u w:val="single"/>
        </w:rPr>
        <w:t xml:space="preserve"> </w:t>
      </w:r>
      <w:r>
        <w:rPr>
          <w:u w:val="single"/>
        </w:rPr>
        <w:t xml:space="preserve">For a civil action brought against a person who may be entitled under Section 117.002 or 117.003 to indemnification for damages awarded against the person in the action, an appeal must be taken directly to the supreme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117.005.</w:t>
      </w:r>
      <w:r>
        <w:rPr>
          <w:u w:val="single"/>
        </w:rPr>
        <w:t xml:space="preserve"> </w:t>
      </w:r>
      <w:r>
        <w:rPr>
          <w:u w:val="single"/>
        </w:rPr>
        <w:t xml:space="preserve"> </w:t>
      </w:r>
      <w:r>
        <w:rPr>
          <w:u w:val="single"/>
        </w:rPr>
        <w:t xml:space="preserve">OTHER LAWS NOT AFFECTED.  This chapter does not affect a defense, immunity, or jurisdictional bar available to the state or a local government or an official, employee, or contractor of the state or a local government.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42A, Code of Criminal Procedure, is amended by adding Article 42A.059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42A.059.</w:t>
      </w:r>
      <w:r>
        <w:rPr>
          <w:u w:val="single"/>
        </w:rPr>
        <w:t xml:space="preserve"> </w:t>
      </w:r>
      <w:r>
        <w:rPr>
          <w:u w:val="single"/>
        </w:rPr>
        <w:t xml:space="preserve"> </w:t>
      </w:r>
      <w:r>
        <w:rPr>
          <w:u w:val="single"/>
        </w:rPr>
        <w:t xml:space="preserve">PLACEMENT ON COMMUNITY SUPERVISION PROHIBITED FOR IMPROPER ENTRY FROM FOREIGN NATION.  Notwithstanding any other provision of this chapter, a defendant is not eligible for community supervision, including deferred adjudication community supervision, under this chapter if the defendant is charged with or convicted of an offense under Section 38.20,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508.145(a),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inmate is not eligible for release on parole if the inmate is under sentence of death, serving a sentence of life imprisonment without parole, or serving a sentence for any of the following offenses under the Penal Code:</w:t>
      </w:r>
    </w:p>
    <w:p w:rsidR="003F3435" w:rsidRDefault="0032493E">
      <w:pPr>
        <w:spacing w:line="480" w:lineRule="auto"/>
        <w:ind w:firstLine="1440"/>
        <w:jc w:val="both"/>
      </w:pPr>
      <w:r>
        <w:t xml:space="preserve">(1)</w:t>
      </w:r>
      <w:r xml:space="preserve">
        <w:t> </w:t>
      </w:r>
      <w:r xml:space="preserve">
        <w:t> </w:t>
      </w:r>
      <w:r>
        <w:t xml:space="preserve">Section 20A.03, if the offense is based partly or wholly on conduct constituting an offense under Section 20A.02(a)(5), (6), (7), or (8);</w:t>
      </w:r>
    </w:p>
    <w:p w:rsidR="003F3435" w:rsidRDefault="0032493E">
      <w:pPr>
        <w:spacing w:line="480" w:lineRule="auto"/>
        <w:ind w:firstLine="1440"/>
        <w:jc w:val="both"/>
      </w:pPr>
      <w:r>
        <w:t xml:space="preserve">(2)</w:t>
      </w:r>
      <w:r xml:space="preserve">
        <w:t> </w:t>
      </w:r>
      <w:r xml:space="preserve">
        <w:t> </w:t>
      </w:r>
      <w:r>
        <w:t xml:space="preserve">Section 21.02;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Section 22.021, if the offense is punishable under Subsection (f) of that section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38.20</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508.149,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inmate serving a sentence for an offense under Section 38.20, Penal Code, may not be released to mandatory supervision.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