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88S30151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following the apprehension of an undocumented individual by the Department of Public Safety for illegal entry into this state from Mexico during certain declared disasters;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411, Government Code, is amended by adding Section 411.02085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411.02085.</w:t>
      </w:r>
      <w:r>
        <w:rPr>
          <w:u w:val="single"/>
        </w:rPr>
        <w:t xml:space="preserve"> </w:t>
      </w:r>
      <w:r>
        <w:rPr>
          <w:u w:val="single"/>
        </w:rPr>
        <w:t xml:space="preserve"> </w:t>
      </w:r>
      <w:r>
        <w:rPr>
          <w:u w:val="single"/>
        </w:rPr>
        <w:t xml:space="preserve">PROCEDURE FOLLOWING APPREHENSION OF UNDOCUMENTED INDIVIDUAL FOR ILLEGAL ENTRY FROM MEXICO DURING CERTAIN DECLARED DISASTERS; OFFENSE.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"Affected county" means a county in which the governor has declared a state of disaster under Chapter 418 relating to the mass unauthorized entry of individuals into this state or otherwise relating to border security.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"Undocumented individual" means an individual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a citizen or other national of the United States;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not lawfully authorized to be present in the United States under the Immigration and Nationality Act (8 U.S.C. Section 1101 et seq.) or other federal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peace officer of the department who apprehends in an affected county an undocumented individual for crossing the border between this state and Mexico in violation of state or federal law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collect any identifying information the individual may have;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transport the individual to a port of entry; and</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order the individual to return to Mexico.</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undocumented individual commits an offense if the individual: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crosses the border between this state and Mexico in violation of state or federal law;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subsequently refuses to comply with an order to return to Mexico delivered by a peace officer under Subsection (b)(3) in response to the violation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offense under Subsection (c) is a felony of the third degree.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