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17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operation of a stash hou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except that the offense is a felony of the second degree if it is shown on the trial of the offense that as a direct result of the commission of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the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