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88S30006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behavioral health services, including intensive outpatient services and partial hospitalization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"Behavioral</w:t>
      </w:r>
      <w:r>
        <w:t xml:space="preserve"> [</w:t>
      </w:r>
      <w:r>
        <w:rPr>
          <w:strike/>
        </w:rPr>
        <w:t xml:space="preserve">, "behavioral</w:t>
      </w:r>
      <w:r>
        <w:t xml:space="preserve">] health services" means mental health and substance </w:t>
      </w:r>
      <w:r>
        <w:rPr>
          <w:u w:val="single"/>
        </w:rPr>
        <w:t xml:space="preserve">use</w:t>
      </w:r>
      <w:r>
        <w:t xml:space="preserve"> [</w:t>
      </w:r>
      <w:r>
        <w:rPr>
          <w:strike/>
        </w:rPr>
        <w:t xml:space="preserve">abuse</w:t>
      </w:r>
      <w:r>
        <w:t xml:space="preserve">] disorder services. </w:t>
      </w:r>
      <w:r>
        <w:t xml:space="preserve"> </w:t>
      </w:r>
      <w:r>
        <w:rPr>
          <w:u w:val="single"/>
        </w:rPr>
        <w:t xml:space="preserve">The term includes intensive outpatient services and partial hospitalization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"Intensive outpatient services" means outpatient treatment services, including treatment services for substance use disorders, depression, eating disorders, and other mental health conditions that do not require detoxification or 24-hour supervision, provided to patients who require a time-limited, multifaceted array of services, structures, and supports by a team of clinical staff capable of providing, at a minimum,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 counseling;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group counseling;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family counseling;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motivational enhancement training;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relapse prevention, drug refusal, and coping skills training.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"Partial hospitalization services" means distinct and organized intensive ambulatory treatment services provided for periods of not more than 24 hours at a location other than a patient's home or in an inpatient or a residential care setting.  The term includes the services described by 42 C.F.R. Section 410.43(a)(4).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