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88S30025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external audit of abuse or neglect investigations conducted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261.3092.</w:t>
      </w:r>
      <w:r>
        <w:rPr>
          <w:u w:val="single"/>
        </w:rPr>
        <w:t xml:space="preserve"> </w:t>
      </w:r>
      <w:r>
        <w:rPr>
          <w:u w:val="single"/>
        </w:rPr>
        <w:t xml:space="preserve"> </w:t>
      </w:r>
      <w:r>
        <w:rPr>
          <w:u w:val="single"/>
        </w:rPr>
        <w:t xml:space="preserve">EXTERNAL AUDIT OF DEPARTMENT ABUSE OR NEGLECT INVESTIGATIONS.  (a)  If in any year the number of filed complaints relating to abuse or neglect investigations the department conducts equals or exceeds 15 percent of the total number of investigations the department conducts during that year, the department shall select an external auditor to conduct an audit of the department's investigative procedures.  The external auditor shall be independent and is not subject to direction from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audit conducted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abuse or neglect reports the department received during four randomly selected months of the one-year period immediately preceding the audit, and the number of abuse or neglect reports for which the department conducted an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if the department did not conduct an investigation in response to a report of abuse or neglect, the reason for the department's decision not to conduct an investigation in response to the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any deficiencies in the department's response to reports of abuse or neglect, including failure to conduct an investigation when an investigation was warranted;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assess the department's compliance with reporting and investigation procedures for reports of abuse or neglect;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regarding any necessary revisions to the department's reporting and investigation procedures for reports of abuse or neglect, including revisions necessary to correct deficiencies in the department's response to reports of abuse or neglect;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recommendations regarding any other changes for the department to implement, including workforce or organizational improvements or additional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pay the costs associated with an audit conducted under this section using existing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auditor shall submit an audit report containing the information described by Subsection (b) to the department, the legislature, and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develop a plan to address all concerns identified in the audit report and implement all recommendations from the audit report not later than the 90th day after the date the audit report is submitted to the department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audit report indicates any individual department employee received complaints in 30 percent or more of the audited investigations the employee conducted, the department shall conduct an employment review to investigate the validity of the complaints.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legislature or the governor determines the department failed to address the concerns identified in the audit report and implement the recommendations of the audit report before the end of the 15th working day after the date the department develops the plan under Subsection (e), the department not later than the 30th day after the date the legislature or the governor makes the determination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the same auditor to conduct an additional audit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same auditor is unable to perform the audit, select another external auditor to conduct the additional audit.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