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rely on findings made by an express lane agency, including a division of an express lane agency, in determining a child's eligibility for coverage under the child health plan, including a child's eligibility for reenrollment in the plan. The commission shall use express lane eligibility by evaluating data received from an applicant under other public assistance programs to determine the applicant's eligibility for coverage under the child health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child health plan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coverage under the child health plan program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child health plan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457.340(e), the commission shall provide to the parent, legal guardian, or custodial relative of a child determined eligible for coverage under the child health plan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as defined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ELIGIBILITY;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programs identified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rely on findings made by an express lane agency, including a division of an express lane agency, in determining a child's eligibility for medical assistance, including the recertification of a child's eligibility for medical assistance benefits. The commission shall use express lane eligibility by evaluating data received from an applicant under other public assistance programs to determine the applicant's eligibility for benefits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enroll in the medical assistance program a child who is determined to be eligible for the program under this section, except that the child may only be enrolled in the program if the child's parent, legal guardian, or custodial relative affirmatively consents to the enrollment. The consent: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provided in accordance with identity verification standards the commission establishes;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orally;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telephone;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writing,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by electronic signature;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an application for coverage or benefits under a public assistance program;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by any other manner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each express lane agency shall include in each application for coverage or benefits under a public assistance program, including any online application, and on the commission's or agency's Internet website a conspicuous notice clearly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disclosed in the application may be used to determine a child's eligibility for medical assistance benefits using the express lane option implemented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legal guardian, or custodial relative may elect not to have the information disclosed for that purpose;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parent, legal guardian, or custodial relative must provide affirmative consent before the child may be enrolled in the medical assistance program using the express lane option implemented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42 C.F.R. Section 435.917, the commission shall provide to the parent, legal guardian, or custodial relative of a child determined eligible for benefits under the medical assistance program using the express lane option implemented under this section notice of that determination. The notice may be provided by mail, e-mail, or any other manner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