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88S30046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transfer for an athletic participation purpose of a student from the school district of the student's residence to another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25.036,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Any child, other than a high school graduate, who is younger than 19 years of age and eligible for enrollment in grades 9 through 12 on September 1 of any school year may transfer not more than once for an athletic participation purpose from the child's school district of residence to another district in this state if both the receiving district and the applicant parent or person standing in parental relation to the applicant jointly approve and timely agree in writing to the transfer for an athletic participation purpose.  The receiving district may not deny a transfer application under this subsection on the basis of a child's sex, race, national origin, ancestral language, or disability.  A transfer under this subsection remains effective until the child graduates from the receiving district, unless the transfer student withdraws from the receiving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33.081,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University Interscholastic League may not penalize or sanction a student for transferring to a school district for an athletic participation purpose, or penalize or sanction the school district that receives the transferring student, if the transfer meets the requirements of Section 25.036(a-1).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2024-2025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