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88S30099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a healthy and safe school water plan by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HEALTHY AND SAFE SCHOOL WATER PLAN.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"Actionable lead level"</w:t>
      </w:r>
      <w:r>
        <w:rPr>
          <w:u w:val="single"/>
        </w:rPr>
        <w:t xml:space="preserve"> </w:t>
      </w:r>
      <w:r>
        <w:rPr>
          <w:u w:val="single"/>
        </w:rPr>
        <w:t xml:space="preserve">means a hazardous, actionable concentration of lead in water, as determined by the commission.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"Commission"</w:t>
      </w:r>
      <w:r>
        <w:rPr>
          <w:u w:val="single"/>
        </w:rPr>
        <w:t xml:space="preserve"> </w:t>
      </w:r>
      <w:r>
        <w:rPr>
          <w:u w:val="single"/>
        </w:rPr>
        <w:t xml:space="preserve">means the Texas Commission on Environmental Quality.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"Community water system"</w:t>
      </w:r>
      <w:r>
        <w:rPr>
          <w:u w:val="single"/>
        </w:rPr>
        <w:t xml:space="preserve"> </w:t>
      </w:r>
      <w:r>
        <w:rPr>
          <w:u w:val="single"/>
        </w:rPr>
        <w:t xml:space="preserve">means a public water system that supplies water to the same population year-round.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"Water source" means any running water tap that is used for drinking or food preparation.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school district shall adopt a healthy and safe school water plan in accordance with rules adopted by the agency under Subsection (c) and with rules adopted by the commission under Subsection (d). </w:t>
      </w:r>
      <w:r>
        <w:rPr>
          <w:u w:val="single"/>
        </w:rPr>
        <w:t xml:space="preserve"> </w:t>
      </w:r>
      <w:r>
        <w:rPr>
          <w:u w:val="single"/>
        </w:rPr>
        <w:t xml:space="preserve">The plan must include provisions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periodic testing for lead in school water sources by a community water system;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reducing exposure to elevated levels of lead in school water sources.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agency, in consultation with the commission, shall adopt rules to provide guidance to school districts on the adoption of a healthy and safe school water plan under this section. </w:t>
      </w:r>
      <w:r>
        <w:rPr>
          <w:u w:val="single"/>
        </w:rPr>
        <w:t xml:space="preserve"> </w:t>
      </w:r>
      <w:r>
        <w:rPr>
          <w:u w:val="single"/>
        </w:rPr>
        <w:t xml:space="preserve">In providing guidance to districts under this section, the agency must provide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collaboration with community water systems to conduct directed public education and lead monitoring at the school district campuses the community water systems service;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manner in which a school district: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comply with Subsection (f);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be reimbursed under Subsection (i).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in accordance with 40 C.F.R. Part 141 to provide guidance to community water systems and school districts regarding: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sampling and testing for lead in school water sources;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minimum lead concentration determined by the commission to be an actionable lead level;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procedure for disabling a water source with an actionable lead level, as determined by the commission;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means by which a community water system or school district may reduce lead in school water sources, including by installing filters and replacing fixtures and water lines.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community water system, in accordance with commission rules adopted under Subsection (d),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designate an employee to act as the point of contact between the commission and school districts served by the community water system;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contact school districts served by the community water system, if applicable, to coordinate water source testing in the district;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test each water source in school districts served by the community water system for the presence of lead;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records for each water source in each school district served by the community water system,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location of the water source;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and results of each test conducted under Subdivision (3) for lead in the water source;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a copy of the records described by Subdivision (4):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commission not less than once every four years;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school district once the testing of a district campus water source has been completed.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manner prescribed by the rules adopted by the agency under Subsection (c), each school district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designate an employee to act as the point of contact for the commission, the community water system, and the public regarding testing for lead in school water sources;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information described by Subsection (e)(5) on each district campus's Internet website not later than the fifth business day after the date the district receives the information;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parent or legal guardian of each student enrolled in the district and each district employee of the results of each test conducted under Subsection (e)(3);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a copy of the records submitted to the district by the community water system under Subsection (e)(5).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event that a school water source is determined by the commission to have an actionable lead level, the school district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 access to the water source not later than 48 hours after learning the results under Subsection (e)(5);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continue to restrict access to the water source until a subsequent test, conducted after appropriate lead abatement efforts are made, indicates the lead concentration at the source to be below the actionable lead level.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elect to perform the duties imposed on a community water system under Subsection (e) independently of and without assistance from the community water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that state and federal funds, including funding from the Infrastructure Investment and Jobs Act (Pub. L. No. 117-58) and the Water Resources Development Act of 2016 (Pub. L. No. 114-322, Title I, 130 Stat. 1632), are available to the agency for the purpose, the agency in coordination with the commission shall develop a grant program under which the agency reimburses a school district or a community water system for taking the following actions related to water sources in the district or a district served by the community water system, as applicable: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testing lead concentrations;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mitigating contamination through lead abatement efforts,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the source of the contamination;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installing filtration systems;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temporarily replacing the water source with bottled water or water from another source;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replacing affected fixtures.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September 1, 2024, each school district and open-enrollment charter school shall adopt a healthy and safe school water plan as required by Section 38.041, Education Code, as added by this Act, and Section 12.104(b)(3)(K), Education Code,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