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88S30235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Tepper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reduction of a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42.023,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42.023.</w:t>
      </w:r>
      <w:r xml:space="preserve">
        <w:t> </w:t>
      </w:r>
      <w:r xml:space="preserve">
        <w:t> </w:t>
      </w:r>
      <w:r>
        <w:t xml:space="preserve">REDUCTION OF EXTRATERRITORIAL JURISDICTION. </w:t>
      </w:r>
      <w:r>
        <w:t xml:space="preserve"> </w:t>
      </w:r>
      <w:r>
        <w:t xml:space="preserve">The extraterritorial jurisdiction of a municipality may not be reduced unless the governing body of the municipality gives its written consent by ordinance or resolution, except: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cases of judicial apportionment of overlapping extraterritorial jurisdictions under Section 42.901;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accordance with an agreement under Section 42.022(d);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as necessary to comply with Section 42.0235</w:t>
      </w:r>
      <w:r>
        <w:rPr>
          <w:u w:val="single"/>
        </w:rPr>
        <w:t xml:space="preserve">, 42.105, or 42.155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