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88S30009 ANG-D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92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community-based learning centers to serve public school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33, Education Code, is amended by adding Section 33.915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33.915.</w:t>
      </w:r>
      <w:r>
        <w:rPr>
          <w:u w:val="single"/>
        </w:rPr>
        <w:t xml:space="preserve"> </w:t>
      </w:r>
      <w:r>
        <w:rPr>
          <w:u w:val="single"/>
        </w:rPr>
        <w:t xml:space="preserve"> </w:t>
      </w:r>
      <w:r>
        <w:rPr>
          <w:u w:val="single"/>
        </w:rPr>
        <w:t xml:space="preserve">COMMUNITY-BASED LEARNING CENTERS. </w:t>
      </w:r>
      <w:r>
        <w:rPr>
          <w:u w:val="single"/>
        </w:rPr>
        <w:t xml:space="preserve"> </w:t>
      </w:r>
      <w:r>
        <w:rPr>
          <w:u w:val="single"/>
        </w:rPr>
        <w:t xml:space="preserve">(a)  In this section, "center" means a community-based learning center established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in collaboration with faith-based nonprofit organizations, a program for the development and operation of community-based learning centers in various school districts to provide students, including students attending a private school, course, or educational program using funds from an education savings account under the education savings account program, who qualify for compensatory education, as determined by the commissioner, with access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technology;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tutoring services;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mentoring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social and emotional support;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outdoor activities;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art;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sports;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individually designed services and supports that may include treatment services, personal support services, or any other support necessary to improve academic and social outcomes for a student, as determined by a center.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adopt minimum training and skills requirements that each individual providing services through the center must satisfy.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From funds appropriated for the purpose, the agency shall pay the costs for developing and operating a center. </w:t>
      </w:r>
      <w:r>
        <w:rPr>
          <w:u w:val="single"/>
        </w:rPr>
        <w:t xml:space="preserve"> </w:t>
      </w:r>
      <w:r>
        <w:rPr>
          <w:u w:val="single"/>
        </w:rPr>
        <w:t xml:space="preserve">The agency shall actively seek federal grants or funds to pay costs associated with the establishment and operation of each center.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agency by rule shall establish a procedure for distributing funds to a school district or other appropriate entity approved by the agency to establish and operate or contract for the operation of a center.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In addition to money appropriated by the legislature, the agency may accept gifts, grants, and donations from any source for establishing the program.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agency may adopt rules as necessary to implement this section,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rules regarding an application process and eligibility criteria to develop and operate a center;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rules for determining whether a student attending a private school, course, or educational program using funds from an education savings account qualifies for compensatory education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