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88S30227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Cody</w:t>
      </w:r>
      <w:r xml:space="preserve">
        <w:tab wTab="150" tlc="none" cTlc="0"/>
      </w:r>
      <w:r>
        <w:t xml:space="preserve">H.B.</w:t>
      </w:r>
      <w:r xml:space="preserve">
        <w:t> </w:t>
      </w:r>
      <w:r>
        <w:t xml:space="preserve">No.</w:t>
      </w:r>
      <w:r xml:space="preserve">
        <w:t> </w:t>
      </w:r>
      <w:r>
        <w:t xml:space="preserve">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property interests of a foreign government in agricultural land.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 Agriculture Code, is amended by adding Chapter 3 to read as follows:</w:t>
      </w:r>
    </w:p>
    <w:p w:rsidR="003F3435" w:rsidRDefault="0032493E">
      <w:pPr>
        <w:spacing w:line="480" w:lineRule="auto"/>
        <w:jc w:val="center"/>
      </w:pPr>
      <w:r>
        <w:rPr>
          <w:u w:val="single"/>
        </w:rPr>
        <w:t xml:space="preserve">CHAPTER 3.</w:t>
      </w:r>
      <w:r>
        <w:rPr>
          <w:u w:val="single"/>
        </w:rPr>
        <w:t xml:space="preserve"> </w:t>
      </w:r>
      <w:r>
        <w:rPr>
          <w:u w:val="single"/>
        </w:rPr>
        <w:t xml:space="preserve"> </w:t>
      </w:r>
      <w:r>
        <w:rPr>
          <w:u w:val="single"/>
        </w:rPr>
        <w:t xml:space="preserve">PROPERTY INTEREST OF FOREIGN GOVERNMENT IN AGRICULTURAL LAND</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"Agricultural land" means land that qualifies for tax appraisal under Subchapter C or D, Chapter 23,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"Foreign government"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federally recognized Indian tribe, as listed by the United States secretary of the interior under 25 U.S.C. Section 5131;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government unit or enterprise of a federally recognized Indian tribe described by Paragraph (A).</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w:t>
      </w:r>
      <w:r>
        <w:rPr>
          <w:u w:val="single"/>
        </w:rPr>
        <w:t xml:space="preserve"> </w:t>
      </w:r>
      <w:r>
        <w:rPr>
          <w:u w:val="single"/>
        </w:rPr>
        <w:t xml:space="preserve"> </w:t>
      </w:r>
      <w:r>
        <w:rPr>
          <w:u w:val="single"/>
        </w:rPr>
        <w:t xml:space="preserve">CERTAIN PROPERTY INTERESTS OF FOREIGN GOVERNMENT IN AGRICULTURAL LAND PROHIBITED.  (a) </w:t>
      </w:r>
      <w:r>
        <w:rPr>
          <w:u w:val="single"/>
        </w:rPr>
        <w:t xml:space="preserve"> </w:t>
      </w:r>
      <w:r>
        <w:rPr>
          <w:u w:val="single"/>
        </w:rPr>
        <w:t xml:space="preserve">Notwithstanding any other law, and except as provided by Section 3.003, the following may not lease, purchase, or otherwise acquire title to or hold any other interest in agricultural land in this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foreign government;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company or other entity that is directly or indirectly held or controlled by a foreign government;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company or other entity that is owned by or the majority of stock or other ownership interest of which is held or controlled by a company or entity described by Subdivision (2).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transfer of a property interest in agricultural land in violation of this section is void.</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3.003.</w:t>
      </w:r>
      <w:r>
        <w:rPr>
          <w:u w:val="single"/>
        </w:rPr>
        <w:t xml:space="preserve"> </w:t>
      </w:r>
      <w:r>
        <w:rPr>
          <w:u w:val="single"/>
        </w:rPr>
        <w:t xml:space="preserve"> </w:t>
      </w:r>
      <w:r>
        <w:rPr>
          <w:u w:val="single"/>
        </w:rPr>
        <w:t xml:space="preserve">PROPERTY INTEREST HELD ON AUGUST 31, 2023. </w:t>
      </w:r>
      <w:r>
        <w:rPr>
          <w:u w:val="single"/>
        </w:rPr>
        <w:t xml:space="preserve"> </w:t>
      </w:r>
      <w:r>
        <w:rPr>
          <w:u w:val="single"/>
        </w:rPr>
        <w:t xml:space="preserve">(a) Subject to Subsection (b), an entity described by Section 3.002 may hold a property interest in agricultural land if the interest was held by the entity on August 31,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property interest in agricultural land held by an entity described by Section 3.002 that terminates on or after September 1, 2023, may not be renewed by the entity.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5.005, Property Code, is amended to read as follows:</w:t>
      </w:r>
    </w:p>
    <w:p w:rsidR="003F3435" w:rsidRDefault="0032493E">
      <w:pPr>
        <w:spacing w:line="480" w:lineRule="auto"/>
        <w:ind w:firstLine="720"/>
        <w:jc w:val="both"/>
      </w:pPr>
      <w:r>
        <w:t xml:space="preserve">Sec.</w:t>
      </w:r>
      <w:r xml:space="preserve">
        <w:t> </w:t>
      </w:r>
      <w:r>
        <w:t xml:space="preserve">5.005.</w:t>
      </w:r>
      <w:r xml:space="preserve">
        <w:t> </w:t>
      </w:r>
      <w:r xml:space="preserve">
        <w:t> </w:t>
      </w:r>
      <w:r>
        <w:t xml:space="preserve">ALIENS.  </w:t>
      </w:r>
      <w:r>
        <w:rPr>
          <w:u w:val="single"/>
        </w:rPr>
        <w:t xml:space="preserve">Except as provided by Chapter 3, Agriculture Code, an</w:t>
      </w:r>
      <w:r>
        <w:t xml:space="preserve"> [</w:t>
      </w:r>
      <w:r>
        <w:rPr>
          <w:strike/>
        </w:rPr>
        <w:t xml:space="preserve">An</w:t>
      </w:r>
      <w:r>
        <w:t xml:space="preserve">] alien has the same real and personal property rights as a United States citizen.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