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103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 on municipal and county expenditures.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LIMIT ON ANNUAL EXPENDITURES.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Legislative Budget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"Consumer price index" means the average over a calendar year of the index the board considers to most accurately report changes in the purchasing power of the dollar for consumers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"Inflation rate" means the amount, expressed in decimal form rounded to the nearest thousandth, computed by determining the percentage change in the consumer price index for the preceding calendar year as compared to the consumer price index for the calendar year preceding that calendar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"Population growth rate" means the rate of growth of the state's population during the preceding calendar year, expressed in decimal form rounded to the nearest thousandth, determined by the board in accordance with the most recent population estimates published by the United States Census Bureau.</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political subdivision that is a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(e), a political subdivision's total expenditures from all available sources of revenue in a fiscal year may not exceed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political subdivision's total expenditures from all available sources of revenue in the preceding fiscal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amount determined by multiplying: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political subdivision's total expenditures from all available sources of revenue in the preceding fiscal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sum of one and the rate most recently published by the board under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January 31 of each year, the board shall publish a rate equal to the product of the population growth rate and the inflation rate.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subdivision's total expenditures from all available sources of local revenue in a fiscal year may exceed the amount described by Subsection (c)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political subdivision's voters approve the additional expenditures for that fiscal year at an election called for that purpose and held on a uniform election date;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governor declares or renews a declaration of a state of disaster under Section 418.014, Government Code, in that fiscal year, and the governor's designation of the area threatened includes all or part of the geographic territory of the political subdivision.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this section, the following are not considered an available source of revenue: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received from the issuance of bonds approved by the voters;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grant, donation, or gift.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140.014, Local Government Code, as added by this Act, applies only to a fiscal year of a municipality or county that begins on or after December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