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investigations and security provided by former members of the special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1702.101 and 1702.102, Occupation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1702.101.</w:t>
      </w:r>
      <w:r xml:space="preserve">
        <w:t> </w:t>
      </w:r>
      <w:r xml:space="preserve">
        <w:t> </w:t>
      </w:r>
      <w:r>
        <w:t xml:space="preserve">INVESTIGATIONS COMPANY LICENSE REQUIRED.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Unless the person holds a license as an investigations company, a person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 as an investigations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offer to perform the services of an investigations company;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engage in business activity for which a license is required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person who has served in the special forces as defined by Section 17</w:t>
      </w:r>
      <w:r>
        <w:rPr>
          <w:u w:val="single"/>
        </w:rPr>
        <w:t xml:space="preserve">01.315(a), and is conducting counter human-trafficking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1702.102.</w:t>
      </w:r>
      <w:r xml:space="preserve">
        <w:t> </w:t>
      </w:r>
      <w:r xml:space="preserve">
        <w:t> </w:t>
      </w:r>
      <w:r>
        <w:t xml:space="preserve">SECURITY SERVICES CONTRACTOR LICENSE REQUIRED; SCOPE OF LICENSE. </w:t>
      </w:r>
      <w:r>
        <w:t xml:space="preserve"> </w:t>
      </w:r>
      <w:r>
        <w:t xml:space="preserve">(a)  Unless the person holds a license as a security services contractor, a person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 as an alarm systems company, armored car company, courier company, guard company, or locksmith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offer to perform the services of a company in Subdivision (1);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engage in business activity for which a license is required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licensed only as a security services contractor may not conduct an investigation other than an investigation incidental to the loss, misappropriation, or concealment of property that the person has been engaged to protect.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person who has served in the special forces as defined by Section 1701.315(a), and is conducting counter human-trafficking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46.15, Penal Code, is amended by adding Subsection 46.15(a)(11)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has served in the special forces as defined by Section 1701.315(a), Occupations Code, and is conducting counter human-trafficking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