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88S30139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Tepper</w:t>
      </w:r>
      <w:r xml:space="preserve">
        <w:tab wTab="150" tlc="none" cTlc="0"/>
      </w:r>
      <w:r>
        <w:t xml:space="preserve">H.B.</w:t>
      </w:r>
      <w:r xml:space="preserve">
        <w:t> </w:t>
      </w:r>
      <w:r>
        <w:t xml:space="preserve">No.</w:t>
      </w:r>
      <w:r xml:space="preserve">
        <w:t> </w:t>
      </w:r>
      <w:r>
        <w:t xml:space="preserve">144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implementation of diversity, equity, and inclusion initiatives by certain governmental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6, Government Code, is amended by adding Chapter 621 to read as follows:</w:t>
      </w:r>
    </w:p>
    <w:p w:rsidR="003F3435" w:rsidRDefault="0032493E">
      <w:pPr>
        <w:spacing w:line="480" w:lineRule="auto"/>
        <w:jc w:val="center"/>
      </w:pPr>
      <w:r>
        <w:rPr>
          <w:u w:val="single"/>
        </w:rPr>
        <w:t xml:space="preserve">CHAPTER 621. PROHIBITION ON CERTAIN DIVERSITY, EQUITY, AND INCLUSION INITIATIVES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621.001.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"Diversity, equity, and inclusion office" means an office, division, or other unit of a governmental entity established for the purpose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influencing hiring or employment practices at the entity with respect to race, sex, color, or ethnicity, other than through the use of color-blind and sex-neutral hiring processes in accordance with any applicable state and federal antidiscrimination laws;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promoting differential treatment or providing special benefits to individuals on the basis of race, sex, color, or ethnicity;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promoting policies or procedures designed or implemented in reference to race, color, or ethnicity, other than policies or procedures implemented for the purpose of ensuring compliance with any applicable federal law;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conducting trainings, programs, or activities designed or implemented in reference to race, color, ethnicity, gender identity, or sexual orientation, other than trainings, programs, or activities conducted for the purpose of ensuring compliance with any applicable court order or state or federal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"Governmental entity" has the meaning assigned by Section 620.001, Government Code, except that the term also includes a school district or open-enrollment charter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621.002.</w:t>
      </w:r>
      <w:r>
        <w:rPr>
          <w:u w:val="single"/>
        </w:rPr>
        <w:t xml:space="preserve"> </w:t>
      </w:r>
      <w:r>
        <w:rPr>
          <w:u w:val="single"/>
        </w:rPr>
        <w:t xml:space="preserve"> </w:t>
      </w:r>
      <w:r>
        <w:rPr>
          <w:u w:val="single"/>
        </w:rPr>
        <w:t xml:space="preserve">APPLICABILITY OF CHAPTER.  This chapter does not apply to an institution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621.003.</w:t>
      </w:r>
      <w:r>
        <w:rPr>
          <w:u w:val="single"/>
        </w:rPr>
        <w:t xml:space="preserve"> </w:t>
      </w:r>
      <w:r>
        <w:rPr>
          <w:u w:val="single"/>
        </w:rPr>
        <w:t xml:space="preserve"> </w:t>
      </w:r>
      <w:r>
        <w:rPr>
          <w:u w:val="single"/>
        </w:rPr>
        <w:t xml:space="preserve">RESPONSIBILITY OF GOVERNMENTAL ENTITY REGARDING DIVERSITY, EQUITY, AND INCLUSION INITIATIVES. </w:t>
      </w:r>
      <w:r>
        <w:rPr>
          <w:u w:val="single"/>
        </w:rPr>
        <w:t xml:space="preserve"> </w:t>
      </w:r>
      <w:r>
        <w:rPr>
          <w:u w:val="single"/>
        </w:rPr>
        <w:t xml:space="preserve">(a) </w:t>
      </w:r>
      <w:r>
        <w:rPr>
          <w:u w:val="single"/>
        </w:rPr>
        <w:t xml:space="preserve"> </w:t>
      </w:r>
      <w:r>
        <w:rPr>
          <w:u w:val="single"/>
        </w:rPr>
        <w:t xml:space="preserve">A governmental entity shall ensure that each unit of the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except as required by federal law:</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establish or maintain a diversity, equity, and inclusion office;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 or assign an employee of the entity or contract with a third party to perform the duties of a diversity, equity, and inclusion office;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compel, require, induce, or solicit any person to provide a diversity, equity, and inclusion statement or give preferential consideration to any person based on the provision of a diversity, equity, and inclusion statement;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give preference on the basis of race, sex, color, ethnicity, or national origin to an applicant for employment, an employee, or a participant in any function of the entity;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require as a condition of employment any person to participate in diversity, equity, and inclusion training, which: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includes a training, program, or activity designed or implemented in reference to race, color, ethnicity, gender identity, or sexual orientation;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does not include a training, program, or activity developed for the purpose of ensuring compliance with any applicable federal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adopts policies and procedures for appropriately disciplining, including by termination, an employee or contractor of the entity who engages in conduct in violation of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(a)(1) may not be construed to apply to:</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academic course instruction;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scholarly research or a creative work by a school district's or open-enrollment charter school's students or faculty;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activity of a student organization registered with or recognized by a school district or open-enrollment charter school;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guest speakers or performers on short-term engagements;</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program or activity to enhance student academic achievement or postgraduate outcomes that allows participation without regard to race, sex, color, or ethnicity; or</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data collection.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employee of a governmental entity who is required to participate in training in violation of Subsection (a)(1)(E) may bring an action against the entity for injunctive and declaratory relief.</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