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88S30144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147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agriculture disaster relief grant program;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Agriculture Code, is amended by adding Chapter 22 to read as follows:</w:t>
      </w:r>
    </w:p>
    <w:p w:rsidR="003F3435" w:rsidRDefault="0032493E">
      <w:pPr>
        <w:spacing w:line="480" w:lineRule="auto"/>
        <w:jc w:val="center"/>
      </w:pPr>
      <w:r>
        <w:rPr>
          <w:u w:val="single"/>
        </w:rPr>
        <w:t xml:space="preserve">CHAPTER 22.  AGRICULTURE DISASTER RELIEF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"Category D2 drought" means a severe drought as defined by the United States Drought Monitor.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"Category D3 drought" means an extreme drought as defined by the United States Drought Monitor.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agriculture disaster relief grant program established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22.002.</w:t>
      </w:r>
      <w:r>
        <w:rPr>
          <w:u w:val="single"/>
        </w:rPr>
        <w:t xml:space="preserve"> </w:t>
      </w:r>
      <w:r>
        <w:rPr>
          <w:u w:val="single"/>
        </w:rPr>
        <w:t xml:space="preserve"> </w:t>
      </w:r>
      <w:r>
        <w:rPr>
          <w:u w:val="single"/>
        </w:rPr>
        <w:t xml:space="preserve">ESTABLISHMENT OF GRANT PROGRAM.  (a)  The department shall establish the agriculture disaster relief grant program to provide block grant disaster relief funding to applicants for necessary expenses related to losses of revenue by cotton infrastructure as a consequence of natural disasters involving drought for the 2022 or 2023 crop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to implement and administer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w:t>
      </w:r>
      <w:r>
        <w:rPr>
          <w:u w:val="single"/>
        </w:rPr>
        <w:t xml:space="preserve"> </w:t>
      </w:r>
      <w:r>
        <w:rPr>
          <w:u w:val="single"/>
        </w:rPr>
        <w:t xml:space="preserve"> </w:t>
      </w:r>
      <w:r>
        <w:rPr>
          <w:u w:val="single"/>
        </w:rPr>
        <w:t xml:space="preserve">GRANT PROGRAM FUND.  (a)  The agriculture disaster relief grant program fund is an account in the general revenue fund.  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department for deposit to the credit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by the department to the credit of the fund from other sources available to the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department for the purpose of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 only by the department to award grants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22.004.</w:t>
      </w:r>
      <w:r>
        <w:rPr>
          <w:u w:val="single"/>
        </w:rPr>
        <w:t xml:space="preserve"> </w:t>
      </w:r>
      <w:r>
        <w:rPr>
          <w:u w:val="single"/>
        </w:rPr>
        <w:t xml:space="preserve"> </w:t>
      </w:r>
      <w:r>
        <w:rPr>
          <w:u w:val="single"/>
        </w:rPr>
        <w:t xml:space="preserve">ELIGIBILITY FOR GRANT PROGRAM.  (a)  To be eligible to receive a grant under the program, an applicant must meet the eligibility requirements established by department rule and show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will be used to support agricultural supply chain resiliency;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 for which the grant will be used is located in a county identified by the United States Drought Monitor as having a Category D2 drought for eight consecutive weeks or a Category D3 drought at any point during the 2022 or 2023 calendar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experienced a decline of at least 30 percent in gross receipts or gross revenue in the 2022 or 2023 calendar year as compared to the previous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Grants under the program may not exceed $500,000 per applicant.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22.005.</w:t>
      </w:r>
      <w:r>
        <w:rPr>
          <w:u w:val="single"/>
        </w:rPr>
        <w:t xml:space="preserve"> </w:t>
      </w:r>
      <w:r>
        <w:rPr>
          <w:u w:val="single"/>
        </w:rPr>
        <w:t xml:space="preserve"> </w:t>
      </w:r>
      <w:r>
        <w:rPr>
          <w:u w:val="single"/>
        </w:rPr>
        <w:t xml:space="preserve">EXPIRATION OF GRANT PROGRAM.  This chapter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Agriculture shall adopt rules and procedures required to implement and administer Chapter 22, Agriculture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8.73, Chapter 458 (S.B. 30), Acts of the 88th Legislature, Regular Session, 2023 (the Supplemental Appropriations Act), is repealed.</w:t>
      </w:r>
    </w:p>
    <w:p w:rsidR="003F3435" w:rsidRDefault="0032493E">
      <w:pPr>
        <w:spacing w:line="480" w:lineRule="auto"/>
        <w:ind w:firstLine="720"/>
        <w:jc w:val="both"/>
      </w:pPr>
      <w:r>
        <w:t xml:space="preserve">(b)</w:t>
      </w:r>
      <w:r xml:space="preserve">
        <w:t> </w:t>
      </w:r>
      <w:r xml:space="preserve">
        <w:t> </w:t>
      </w:r>
      <w:r>
        <w:t xml:space="preserve">Notwithstanding Subsection (a) of this section, the Department of Agriculture may expend amounts appropriated by former Section 8.73, Chapter 458 (S.B. 30), Acts of the 88th Legislature, Regular Session, 2023 (the Supplemental Appropriations Act), for a purpose provided by the former law if the amounts were obligated for that purpose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All unobligated and unexpended balances remaining as of the effective date of this Act from appropriations made by former Section 8.73, Chapter 458 (S.B. 30), Acts of the 88th Legislature, Regular Session, 2023 (the Supplemental Appropriations Act), are appropriated from the same source to the Department of Agriculture for the two-year period beginning on the effective date of this Act for the purpose of providing grants under Chapter 22, Agriculture Code, as added by this Act.</w:t>
      </w:r>
    </w:p>
    <w:p w:rsidR="003F3435" w:rsidRDefault="0032493E">
      <w:pPr>
        <w:spacing w:line="480" w:lineRule="auto"/>
        <w:ind w:firstLine="720"/>
        <w:jc w:val="both"/>
      </w:pPr>
      <w:r>
        <w:t xml:space="preserve">(b)</w:t>
      </w:r>
      <w:r xml:space="preserve">
        <w:t> </w:t>
      </w:r>
      <w:r xml:space="preserve">
        <w:t> </w:t>
      </w:r>
      <w:r>
        <w:t xml:space="preserve">The comptroller of public accounts shall deposit the amount appropriated by Subsection (a) of this section to the credit of the agriculture disaster relief grant program fund created by Section 22.003, Agriculture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