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88S30143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sale, production, or distribution of lab-grown meat;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SALE, PRODUCTION, OR DISTRIBUTION OF LAB-GROWN MEAT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121.0001.</w:t>
      </w:r>
      <w:r>
        <w:rPr>
          <w:u w:val="single"/>
        </w:rPr>
        <w:t xml:space="preserve"> </w:t>
      </w:r>
      <w:r>
        <w:rPr>
          <w:u w:val="single"/>
        </w:rPr>
        <w:t xml:space="preserve"> </w:t>
      </w:r>
      <w:r>
        <w:rPr>
          <w:u w:val="single"/>
        </w:rPr>
        <w:t xml:space="preserve">DEFINITION.  In this chapter, "lab-grown meat" means a food product derived in a laboratory by harvesting animal cells and artificially replicating those cells in a growth medium separate from a parent animal to produce tissue for the product.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121.0002.</w:t>
      </w:r>
      <w:r>
        <w:rPr>
          <w:u w:val="single"/>
        </w:rPr>
        <w:t xml:space="preserve"> </w:t>
      </w:r>
      <w:r>
        <w:rPr>
          <w:u w:val="single"/>
        </w:rPr>
        <w:t xml:space="preserve"> </w:t>
      </w:r>
      <w:r>
        <w:rPr>
          <w:u w:val="single"/>
        </w:rPr>
        <w:t xml:space="preserve">PROHIBITED</w:t>
      </w:r>
      <w:r>
        <w:rPr>
          <w:u w:val="single"/>
        </w:rPr>
        <w:t xml:space="preserve"> </w:t>
      </w:r>
      <w:r>
        <w:rPr>
          <w:u w:val="single"/>
        </w:rPr>
        <w:t xml:space="preserve">SALE, PRODUCTION, OR DISTRIBUTION OF LAB-GROWN MEAT.  A person may not sell, produce, or distribute lab-grown meat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121.0003.</w:t>
      </w:r>
      <w:r>
        <w:rPr>
          <w:u w:val="single"/>
        </w:rPr>
        <w:t xml:space="preserve"> </w:t>
      </w:r>
      <w:r>
        <w:rPr>
          <w:u w:val="single"/>
        </w:rPr>
        <w:t xml:space="preserve"> </w:t>
      </w:r>
      <w:r>
        <w:rPr>
          <w:u w:val="single"/>
        </w:rPr>
        <w:t xml:space="preserve">CIVIL PENALTY; INJUNCTIVE RELIEF.  (a)  A person who violates Section 121.0002 is liable to this state for a civil penalty in the amount of $1,000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the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injunctive relief to require compliance with Section 121.0002;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recover a civil penalty under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both injunctive relief and to recover the civil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or threatened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costs incurred in bringing the action, including reasonable attorney's fees and reasonable investigative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121, Business &amp; Commerce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