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88S30638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Kitzman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licensing of child-care facilities providing care to certain unaccompanied children and the suspension of laws relating to the licensing of those facilities;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418.016, Government Code, is amended by amending Subsection (a) and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this section, the</w:t>
      </w:r>
      <w:r>
        <w:t xml:space="preserve"> </w:t>
      </w:r>
      <w:r>
        <w:t xml:space="preserve">[</w:t>
      </w:r>
      <w:r>
        <w:rPr>
          <w:strike/>
        </w:rPr>
        <w:t xml:space="preserve">The</w:t>
      </w:r>
      <w:r>
        <w:t xml:space="preserve">] governor may suspend the provisions of any regulatory statute prescribing the procedures for conduct of state business or the orders or rules of a state agency if strict compliance with the provisions, orders, or rules would in any way prevent, hinder, or delay necessary action in coping with a disaster.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may not suspend a provision of Chapter 42, Human Resources Code, or any other law or rule relating to the licensing or regulation of a residential child-care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42, Human Resources Code, is amended by adding Section 42.0762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42.0762.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CARE OF CERTAIN UNACCOMPANIED CHILDREN; CRIMINAL PENALTY.  (a)  Except as provided by Subsection (b), a person who provides 24-hour care under a contract with United States Immigration and Customs Enforcement or the Office of Refugee Resettlement to children who are not accompanied by or in the physical custody of a parent, guardian, or other adult family member must be licensed or certified under this chapter as a residential child-care facility.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 religious institution that is exempt from federal income tax under Section 501(a), Internal Revenue Code of 1986, as an organization described by Section 501(c)(3) of that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violates this section commits an offense.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On the effective date of this Act, any law or rule relating to licensing or regulating residential child-care facilities that is suspended under Chapter 418, Government Code, as that law existed immediately before the effective date of this Act, is reinstated.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Health and Human Services Commission shall establish a process to issue or renew the license of a residential child-care facility whose license was revoked, suspended, not renewed, or otherwise affected by an order of the governor issued under the authority of Section 418.016,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