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88S30152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Rogers</w:t>
      </w:r>
      <w:r xml:space="preserve">
        <w:tab wTab="150" tlc="none" cTlc="0"/>
      </w:r>
      <w:r>
        <w:t xml:space="preserve">H.B.</w:t>
      </w:r>
      <w:r xml:space="preserve">
        <w:t> </w:t>
      </w:r>
      <w:r>
        <w:t xml:space="preserve">No.</w:t>
      </w:r>
      <w:r xml:space="preserve">
        <w:t> </w:t>
      </w:r>
      <w:r>
        <w:t xml:space="preserve">166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a school district or open-enrollment charter school to post information regarding parental rights on the district's or school's Internet website.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26, Education Code, is amended by adding Section 26.016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26.016.</w:t>
      </w:r>
      <w:r>
        <w:rPr>
          <w:u w:val="single"/>
        </w:rPr>
        <w:t xml:space="preserve"> </w:t>
      </w:r>
      <w:r>
        <w:rPr>
          <w:u w:val="single"/>
        </w:rPr>
        <w:t xml:space="preserve"> </w:t>
      </w:r>
      <w:r>
        <w:rPr>
          <w:u w:val="single"/>
        </w:rPr>
        <w:t xml:space="preserve">POSTING OF INFORMATION REGARDING PARENTAL RIGHTS.  A school district or open-enrollment charter school shall post in a prominent location on the district's or school's Internet website home page a clearly identifiable link to this chapter if the district or school maintains an Internet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