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88S30266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school accountability system and the career and technology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39.053(c), Education Code, is amended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 or the Texas National Guard;</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w:t>
      </w:r>
      <w:r>
        <w:rPr>
          <w:strike/>
        </w:rPr>
        <w:t xml:space="preserve">and</w:t>
      </w:r>
      <w:r>
        <w:t xml:space="preserve">]</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 </w:t>
      </w:r>
      <w:r>
        <w:rPr>
          <w:u w:val="single"/>
        </w:rPr>
        <w:t xml:space="preserve">and</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students who successfully completed a Pathways in Technology Early College High School (P-TECH) program established under Subchapter N, Chapter 29, or another early college high school program;</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39.0544(a),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regarding the assignment of campus performance ratings by school districts and open-enrollment charter schools. </w:t>
      </w:r>
      <w:r>
        <w:t xml:space="preserve"> </w:t>
      </w:r>
      <w:r>
        <w:t xml:space="preserve">The rules:</w:t>
      </w:r>
    </w:p>
    <w:p w:rsidR="003F3435" w:rsidRDefault="0032493E">
      <w:pPr>
        <w:spacing w:line="480" w:lineRule="auto"/>
        <w:ind w:firstLine="1440"/>
        <w:jc w:val="both"/>
      </w:pPr>
      <w:r>
        <w:t xml:space="preserve">(1)</w:t>
      </w:r>
      <w:r xml:space="preserve">
        <w:t> </w:t>
      </w:r>
      <w:r xml:space="preserve">
        <w:t> </w:t>
      </w:r>
      <w:r>
        <w:t xml:space="preserve">must require a district or school, in assigning an overall performance rating for a campus, to incorporate:</w:t>
      </w:r>
    </w:p>
    <w:p w:rsidR="003F3435" w:rsidRDefault="0032493E">
      <w:pPr>
        <w:spacing w:line="480" w:lineRule="auto"/>
        <w:ind w:firstLine="2160"/>
        <w:jc w:val="both"/>
      </w:pPr>
      <w:r>
        <w:t xml:space="preserve">(A)</w:t>
      </w:r>
      <w:r xml:space="preserve">
        <w:t> </w:t>
      </w:r>
      <w:r xml:space="preserve">
        <w:t> </w:t>
      </w:r>
      <w:r>
        <w:t xml:space="preserve">domain performance ratings assigned by the commissioner under Section 39.054;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performance ratings based on locally developed domains or sets of accountability measures;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distinction designations awarded to the campus under Subchapter G;</w:t>
      </w:r>
    </w:p>
    <w:p w:rsidR="003F3435" w:rsidRDefault="0032493E">
      <w:pPr>
        <w:spacing w:line="480" w:lineRule="auto"/>
        <w:ind w:firstLine="1440"/>
        <w:jc w:val="both"/>
      </w:pPr>
      <w:r>
        <w:t xml:space="preserve">(2)</w:t>
      </w:r>
      <w:r xml:space="preserve">
        <w:t> </w:t>
      </w:r>
      <w:r xml:space="preserve">
        <w:t> </w:t>
      </w:r>
      <w:r>
        <w:t xml:space="preserve">may permit a district or school to assign weights to each domain</w:t>
      </w:r>
      <w:r>
        <w:rPr>
          <w:u w:val="single"/>
        </w:rPr>
        <w:t xml:space="preserve">,</w:t>
      </w:r>
      <w:r>
        <w:t xml:space="preserve"> [</w:t>
      </w:r>
      <w:r>
        <w:rPr>
          <w:strike/>
        </w:rPr>
        <w:t xml:space="preserve">or</w:t>
      </w:r>
      <w:r>
        <w:t xml:space="preserve">] set of accountability measures</w:t>
      </w:r>
      <w:r>
        <w:rPr>
          <w:u w:val="single"/>
        </w:rPr>
        <w:t xml:space="preserve">, or distinction designations</w:t>
      </w:r>
      <w:r>
        <w:t xml:space="preserve"> described in Subdivision (1), as determined by the district or school, provided that the domains specified in Subdivision (1)(A) must in the aggregate account for at least 50 percent of the overall performance rating;</w:t>
      </w:r>
    </w:p>
    <w:p w:rsidR="003F3435" w:rsidRDefault="0032493E">
      <w:pPr>
        <w:spacing w:line="480" w:lineRule="auto"/>
        <w:ind w:firstLine="1440"/>
        <w:jc w:val="both"/>
      </w:pPr>
      <w:r>
        <w:t xml:space="preserve">(3)</w:t>
      </w:r>
      <w:r xml:space="preserve">
        <w:t> </w:t>
      </w:r>
      <w:r xml:space="preserve">
        <w:t> </w:t>
      </w:r>
      <w:r>
        <w:t xml:space="preserve">must require that each locally developed domain or set of accountability measures:</w:t>
      </w:r>
    </w:p>
    <w:p w:rsidR="003F3435" w:rsidRDefault="0032493E">
      <w:pPr>
        <w:spacing w:line="480" w:lineRule="auto"/>
        <w:ind w:firstLine="2160"/>
        <w:jc w:val="both"/>
      </w:pPr>
      <w:r>
        <w:t xml:space="preserve">(A)</w:t>
      </w:r>
      <w:r xml:space="preserve">
        <w:t> </w:t>
      </w:r>
      <w:r xml:space="preserve">
        <w:t> </w:t>
      </w:r>
      <w:r>
        <w:t xml:space="preserve">contains levels of performance that allow for differentiation, with assigned standards for achieving the differentiated levels;</w:t>
      </w:r>
    </w:p>
    <w:p w:rsidR="003F3435" w:rsidRDefault="0032493E">
      <w:pPr>
        <w:spacing w:line="480" w:lineRule="auto"/>
        <w:ind w:firstLine="2160"/>
        <w:jc w:val="both"/>
      </w:pPr>
      <w:r>
        <w:t xml:space="preserve">(B)</w:t>
      </w:r>
      <w:r xml:space="preserve">
        <w:t> </w:t>
      </w:r>
      <w:r xml:space="preserve">
        <w:t> </w:t>
      </w:r>
      <w:r>
        <w:t xml:space="preserve">provides for the assignment of a letter grade of A, B, C, D, or F; and</w:t>
      </w:r>
    </w:p>
    <w:p w:rsidR="003F3435" w:rsidRDefault="0032493E">
      <w:pPr>
        <w:spacing w:line="480" w:lineRule="auto"/>
        <w:ind w:firstLine="2160"/>
        <w:jc w:val="both"/>
      </w:pPr>
      <w:r>
        <w:t xml:space="preserve">(C)</w:t>
      </w:r>
      <w:r xml:space="preserve">
        <w:t> </w:t>
      </w:r>
      <w:r xml:space="preserve">
        <w:t> </w:t>
      </w:r>
      <w:r>
        <w:t xml:space="preserve">meets standards for reliability and validity;</w:t>
      </w:r>
      <w:r xml:space="preserve">
        <w:t> </w:t>
      </w:r>
      <w:r xml:space="preserve">
        <w:t> </w:t>
      </w:r>
    </w:p>
    <w:p w:rsidR="003F3435" w:rsidRDefault="0032493E">
      <w:pPr>
        <w:spacing w:line="480" w:lineRule="auto"/>
        <w:ind w:firstLine="1440"/>
        <w:jc w:val="both"/>
      </w:pPr>
      <w:r>
        <w:t xml:space="preserve">(4)</w:t>
      </w:r>
      <w:r xml:space="preserve">
        <w:t> </w:t>
      </w:r>
      <w:r xml:space="preserve">
        <w:t> </w:t>
      </w:r>
      <w:r>
        <w:t xml:space="preserve">must require that calculations for overall performance ratings and each locally developed domain or set of accountability measures be capable of being audited by a third party;</w:t>
      </w:r>
    </w:p>
    <w:p w:rsidR="003F3435" w:rsidRDefault="0032493E">
      <w:pPr>
        <w:spacing w:line="480" w:lineRule="auto"/>
        <w:ind w:firstLine="1440"/>
        <w:jc w:val="both"/>
      </w:pPr>
      <w:r>
        <w:t xml:space="preserve">(5)</w:t>
      </w:r>
      <w:r xml:space="preserve">
        <w:t> </w:t>
      </w:r>
      <w:r xml:space="preserve">
        <w:t> </w:t>
      </w:r>
      <w:r>
        <w:t xml:space="preserve">must require that a district or school produce a campus score card that may be displayed on the agency's website; and</w:t>
      </w:r>
    </w:p>
    <w:p w:rsidR="003F3435" w:rsidRDefault="0032493E">
      <w:pPr>
        <w:spacing w:line="480" w:lineRule="auto"/>
        <w:ind w:firstLine="1440"/>
        <w:jc w:val="both"/>
      </w:pPr>
      <w:r>
        <w:t xml:space="preserve">(6)</w:t>
      </w:r>
      <w:r xml:space="preserve">
        <w:t> </w:t>
      </w:r>
      <w:r xml:space="preserve">
        <w:t> </w:t>
      </w:r>
      <w:r>
        <w:t xml:space="preserve">must require that a district or school develop and make available to the public an explanation of the methodology used to assign performance ratings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39.202, Education Code, is amended to read as follows:</w:t>
      </w:r>
    </w:p>
    <w:p w:rsidR="003F3435" w:rsidRDefault="0032493E">
      <w:pPr>
        <w:spacing w:line="480" w:lineRule="auto"/>
        <w:ind w:firstLine="720"/>
        <w:jc w:val="both"/>
      </w:pPr>
      <w:r>
        <w:t xml:space="preserve">Sec.</w:t>
      </w:r>
      <w:r xml:space="preserve">
        <w:t> </w:t>
      </w:r>
      <w:r>
        <w:t xml:space="preserve">39.202.</w:t>
      </w:r>
      <w:r xml:space="preserve">
        <w:t> </w:t>
      </w:r>
      <w:r xml:space="preserve">
        <w:t> </w:t>
      </w:r>
      <w:r>
        <w:t xml:space="preserve">ACADEMIC DISTINCTION DESIGNATION FOR DISTRICTS AND CAMPUSES.</w:t>
      </w:r>
      <w:r xml:space="preserve">
        <w:t> </w:t>
      </w:r>
      <w:r xml:space="preserve">
        <w:t> </w:t>
      </w:r>
      <w:r>
        <w:t xml:space="preserve">The commissioner by rule shall establish an academic distinction designation for districts and campuses for outstanding performance in attainment of postsecondary readiness. </w:t>
      </w:r>
      <w:r>
        <w:t xml:space="preserve"> </w:t>
      </w:r>
      <w:r>
        <w:t xml:space="preserve">The commissioner shall adopt criteria for the designation under this section, including:</w:t>
      </w:r>
    </w:p>
    <w:p w:rsidR="003F3435" w:rsidRDefault="0032493E">
      <w:pPr>
        <w:spacing w:line="480" w:lineRule="auto"/>
        <w:ind w:firstLine="1440"/>
        <w:jc w:val="both"/>
      </w:pPr>
      <w:r>
        <w:t xml:space="preserve">(1)</w:t>
      </w:r>
      <w:r xml:space="preserve">
        <w:t> </w:t>
      </w:r>
      <w:r xml:space="preserve">
        <w:t> </w:t>
      </w:r>
      <w:r>
        <w:t xml:space="preserve">percentages of students who:</w:t>
      </w:r>
    </w:p>
    <w:p w:rsidR="003F3435" w:rsidRDefault="0032493E">
      <w:pPr>
        <w:spacing w:line="480" w:lineRule="auto"/>
        <w:ind w:firstLine="2160"/>
        <w:jc w:val="both"/>
      </w:pPr>
      <w:r>
        <w:t xml:space="preserve">(A)</w:t>
      </w:r>
      <w:r xml:space="preserve">
        <w:t> </w:t>
      </w:r>
      <w:r xml:space="preserve">
        <w:t> </w:t>
      </w:r>
      <w:r>
        <w:t xml:space="preserve">performed satisfactorily, as determined under the college readiness performance standard under Section 39.0241, on assessment instruments required under Section 39.023(a), (b), (c), or (l), aggregated across grade levels by subject area; or</w:t>
      </w:r>
    </w:p>
    <w:p w:rsidR="003F3435" w:rsidRDefault="0032493E">
      <w:pPr>
        <w:spacing w:line="480" w:lineRule="auto"/>
        <w:ind w:firstLine="2160"/>
        <w:jc w:val="both"/>
      </w:pPr>
      <w:r>
        <w:t xml:space="preserve">(B)</w:t>
      </w:r>
      <w:r xml:space="preserve">
        <w:t> </w:t>
      </w:r>
      <w:r xml:space="preserve">
        <w:t> </w:t>
      </w:r>
      <w:r>
        <w:t xml:space="preserve">met the standard for annual improvement, as determined by the agency under Section 39.034, on assessment instruments required under Section 39.023(a), (b), (c), or (l), aggregated across grade levels by subject area, for students who did not perform satisfactorily as described by Paragraph (A);</w:t>
      </w:r>
    </w:p>
    <w:p w:rsidR="003F3435" w:rsidRDefault="0032493E">
      <w:pPr>
        <w:spacing w:line="480" w:lineRule="auto"/>
        <w:ind w:firstLine="1440"/>
        <w:jc w:val="both"/>
      </w:pPr>
      <w:r>
        <w:t xml:space="preserve">(2)</w:t>
      </w:r>
      <w:r xml:space="preserve">
        <w:t> </w:t>
      </w:r>
      <w:r xml:space="preserve">
        <w:t> </w:t>
      </w:r>
      <w:r>
        <w:t xml:space="preserve">percentages of:</w:t>
      </w:r>
    </w:p>
    <w:p w:rsidR="003F3435" w:rsidRDefault="0032493E">
      <w:pPr>
        <w:spacing w:line="480" w:lineRule="auto"/>
        <w:ind w:firstLine="2160"/>
        <w:jc w:val="both"/>
      </w:pPr>
      <w:r>
        <w:t xml:space="preserve">(A)</w:t>
      </w:r>
      <w:r xml:space="preserve">
        <w:t> </w:t>
      </w:r>
      <w:r xml:space="preserve">
        <w:t> </w:t>
      </w:r>
      <w:r>
        <w:t xml:space="preserve">students who earned a nationally or internationally recognized business or industry certification or license;</w:t>
      </w:r>
    </w:p>
    <w:p w:rsidR="003F3435" w:rsidRDefault="0032493E">
      <w:pPr>
        <w:spacing w:line="480" w:lineRule="auto"/>
        <w:ind w:firstLine="2160"/>
        <w:jc w:val="both"/>
      </w:pPr>
      <w:r>
        <w:t xml:space="preserve">(B)</w:t>
      </w:r>
      <w:r xml:space="preserve">
        <w:t> </w:t>
      </w:r>
      <w:r xml:space="preserve">
        <w:t> </w:t>
      </w:r>
      <w:r>
        <w:t xml:space="preserve">students who completed a coherent sequence of career and technical courses;</w:t>
      </w:r>
    </w:p>
    <w:p w:rsidR="003F3435" w:rsidRDefault="0032493E">
      <w:pPr>
        <w:spacing w:line="480" w:lineRule="auto"/>
        <w:ind w:firstLine="2160"/>
        <w:jc w:val="both"/>
      </w:pPr>
      <w:r>
        <w:t xml:space="preserve">(C)</w:t>
      </w:r>
      <w:r xml:space="preserve">
        <w:t> </w:t>
      </w:r>
      <w:r xml:space="preserve">
        <w:t> </w:t>
      </w:r>
      <w:r>
        <w:t xml:space="preserve">students who completed a dual credit course or an articulated postsecondary course provided for local credit;</w:t>
      </w:r>
    </w:p>
    <w:p w:rsidR="003F3435" w:rsidRDefault="0032493E">
      <w:pPr>
        <w:spacing w:line="480" w:lineRule="auto"/>
        <w:ind w:firstLine="2160"/>
        <w:jc w:val="both"/>
      </w:pPr>
      <w:r>
        <w:t xml:space="preserve">(D)</w:t>
      </w:r>
      <w:r xml:space="preserve">
        <w:t> </w:t>
      </w:r>
      <w:r xml:space="preserve">
        <w:t> </w:t>
      </w:r>
      <w:r>
        <w:t xml:space="preserve">students who achieved applicable College Readiness Benchmarks or the equivalent on the Preliminary Scholastic Assessment Test (PSAT), the Scholastic Assessment Test (SAT), the American College Test (ACT), or the ACT-Plan assessment program;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students who received a score on either an advanced placement test or an international baccalaureate examination to be awarded college credit;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students who completed a Pathways in Technology Early College High School (P-TECH) program established under Subchapter N, Chapter 29, or another early college high school program; and</w:t>
      </w:r>
    </w:p>
    <w:p w:rsidR="003F3435" w:rsidRDefault="0032493E">
      <w:pPr>
        <w:spacing w:line="480" w:lineRule="auto"/>
        <w:ind w:firstLine="1440"/>
        <w:jc w:val="both"/>
      </w:pPr>
      <w:r>
        <w:t xml:space="preserve">(3)</w:t>
      </w:r>
      <w:r xml:space="preserve">
        <w:t> </w:t>
      </w:r>
      <w:r xml:space="preserve">
        <w:t> </w:t>
      </w:r>
      <w:r>
        <w:t xml:space="preserve">other factors for determining sufficient student attainment of postsecondary readiness.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a district is entitled to </w:t>
      </w:r>
      <w:r>
        <w:rPr>
          <w:u w:val="single"/>
        </w:rPr>
        <w:t xml:space="preserve">$150</w:t>
      </w:r>
      <w:r>
        <w:t xml:space="preserve"> </w:t>
      </w:r>
      <w:r>
        <w:t xml:space="preserve">[</w:t>
      </w:r>
      <w:r>
        <w:rPr>
          <w:strike/>
        </w:rPr>
        <w:t xml:space="preserve">$50</w:t>
      </w:r>
      <w:r>
        <w:t xml:space="preserve">]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