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88S30595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ownership of real property by certain aliens or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OWNERSHIP OF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 means ownership of at least 50 percent of the voting ownership interest of an organization necessary to elect a governing person or governing authority of an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country" means a country designated by the governor under Section 5.253.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"Governing authority," "governing person," and "organization" have the meanings assigned by Section 1.002, Business Organizations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 UNITED STATES CITIZENS AND LAWFUL PERMANENT RESIDENTS. </w:t>
      </w:r>
      <w:r>
        <w:rPr>
          <w:u w:val="single"/>
        </w:rPr>
        <w:t xml:space="preserve"> </w:t>
      </w:r>
      <w:r>
        <w:rPr>
          <w:u w:val="single"/>
        </w:rPr>
        <w:t xml:space="preserve">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 including an individual who is a citizen of a foreign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 owned by or under the control of one or more individuals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DESIGNATION OF COUNTRY AS SUBJECT TO PROHIBITION ON OWNERSHIP OF REAL PROPERTY. </w:t>
      </w:r>
      <w:r>
        <w:rPr>
          <w:u w:val="single"/>
        </w:rPr>
        <w:t xml:space="preserve"> </w:t>
      </w:r>
      <w:r>
        <w:rPr>
          <w:u w:val="single"/>
        </w:rPr>
        <w:t xml:space="preserve">(a) </w:t>
      </w:r>
      <w:r>
        <w:rPr>
          <w:u w:val="single"/>
        </w:rPr>
        <w:t xml:space="preserve"> </w:t>
      </w:r>
      <w:r>
        <w:rPr>
          <w:u w:val="single"/>
        </w:rPr>
        <w:t xml:space="preserve">The governor, after consultation with the public safety director of the Department of Public Safety, may designate a country of which a governmental entity, company or other entity, or citizen shall be subject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consult the Homeland Security Council established under Subchapter B, Chapter 421, Government Code, for purposes of making a designation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PROHIBITION ON OWNERSHIP OF REAL PROPERTY. </w:t>
      </w:r>
      <w:r>
        <w:rPr>
          <w:u w:val="single"/>
        </w:rPr>
        <w:t xml:space="preserve"> </w:t>
      </w:r>
      <w:r>
        <w:rPr>
          <w:u w:val="single"/>
        </w:rPr>
        <w:t xml:space="preserve">Except as provided by Section 5.252 and notwithstanding any other law, the following may not own real property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under the control of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under the control of one or more individuals who are citizens of a designated country;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under the control of a company or entity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 citizen of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ATTORNEY GENERAL ENFORCEMENT.  (a) </w:t>
      </w:r>
      <w:r>
        <w:rPr>
          <w:u w:val="single"/>
        </w:rPr>
        <w:t xml:space="preserve"> </w:t>
      </w:r>
      <w:r>
        <w:rPr>
          <w:u w:val="single"/>
        </w:rPr>
        <w:t xml:space="preserve">If the attorney general has a reasonable suspicion that an individual or entity owns real property in this state in violation of this subchapter, the attorney general may bring an action to enforce this subchapter in a district court in the county where all or part of the real property that is the subject of the violation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district court finds that the real property subject to an action brought under Subsection (a) is owned by an individual or entity in violation of Section 5.254, the court shall enter an order stating that finding and ordering the individual or entity to divest all interest in the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DIVESTMENT; FORFEITURE. (a) Not later than the first anniversary of the date the district court enters an order under Section 5.255(b), an individual or entity found by the district court to own real property in violation of this subchapter shall divest all interest in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or entity fails to divest an interest in real property as required by an order issued under Subsection (a), the district court shall enter an order that forfeits the individual's or entity's interest in the real property 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5.257.</w:t>
      </w:r>
      <w:r>
        <w:rPr>
          <w:u w:val="single"/>
        </w:rPr>
        <w:t xml:space="preserve"> </w:t>
      </w:r>
      <w:r>
        <w:rPr>
          <w:u w:val="single"/>
        </w:rPr>
        <w:t xml:space="preserve"> </w:t>
      </w:r>
      <w:r>
        <w:rPr>
          <w:u w:val="single"/>
        </w:rPr>
        <w:t xml:space="preserve">STATE MANAGEMENT OF FORFEITED REAL PROPERTY.  (a) </w:t>
      </w:r>
      <w:r>
        <w:rPr>
          <w:u w:val="single"/>
        </w:rPr>
        <w:t xml:space="preserve"> </w:t>
      </w:r>
      <w:r>
        <w:rPr>
          <w:u w:val="single"/>
        </w:rPr>
        <w:t xml:space="preserve">An interest in real property forfeited to this state under Section 5.256(b) shall be owned by this state and managed by the General Land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Proceeds of a disposition of an interest in real property forfeited to this state under Section 5.256(b) shall be remitted to the comptroller for deposit to the credit of the foundation school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shall adopt rules for the implementation of Subchapter H, Chapter 5, Property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to ownership of real property regardless of whether ownership is acquired before,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