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208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an inspector general for education and the creation of a division of inspector general for education in the governor's office to investigate the administration of public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authorize special investigations to be conducted:</w:t>
      </w:r>
    </w:p>
    <w:p w:rsidR="003F3435" w:rsidRDefault="0032493E">
      <w:pPr>
        <w:spacing w:line="480" w:lineRule="auto"/>
        <w:ind w:firstLine="1440"/>
        <w:jc w:val="both"/>
      </w:pPr>
      <w:r>
        <w:t xml:space="preserve">(1)</w:t>
      </w:r>
      <w:r xml:space="preserve">
        <w:t> </w:t>
      </w:r>
      <w:r xml:space="preserve">
        <w:t> </w:t>
      </w:r>
      <w:r>
        <w:t xml:space="preserve">when excessive numbers of absences of students eligible to be tested on state assessment instruments are determined;</w:t>
      </w:r>
    </w:p>
    <w:p w:rsidR="003F3435" w:rsidRDefault="0032493E">
      <w:pPr>
        <w:spacing w:line="480" w:lineRule="auto"/>
        <w:ind w:firstLine="1440"/>
        <w:jc w:val="both"/>
      </w:pPr>
      <w:r>
        <w:t xml:space="preserve">(2)</w:t>
      </w:r>
      <w:r xml:space="preserve">
        <w:t> </w:t>
      </w:r>
      <w:r xml:space="preserve">
        <w:t> </w:t>
      </w:r>
      <w:r>
        <w:t xml:space="preserve">when excessive numbers of allowable exemptions from the required state assessment instruments are determined;</w:t>
      </w:r>
    </w:p>
    <w:p w:rsidR="003F3435" w:rsidRDefault="0032493E">
      <w:pPr>
        <w:spacing w:line="480" w:lineRule="auto"/>
        <w:ind w:firstLine="1440"/>
        <w:jc w:val="both"/>
      </w:pPr>
      <w:r>
        <w:t xml:space="preserve">(3)</w:t>
      </w:r>
      <w:r xml:space="preserve">
        <w:t> </w:t>
      </w:r>
      <w:r xml:space="preserve">
        <w:t> </w:t>
      </w:r>
      <w:r>
        <w:t xml:space="preserve">in response to complaints submitted to the agency with respect to alleged violations of civil rights or other requirements imposed on the state by federal law or court order;</w:t>
      </w:r>
    </w:p>
    <w:p w:rsidR="003F3435" w:rsidRDefault="0032493E">
      <w:pPr>
        <w:spacing w:line="480" w:lineRule="auto"/>
        <w:ind w:firstLine="1440"/>
        <w:jc w:val="both"/>
      </w:pPr>
      <w:r>
        <w:t xml:space="preserve">(4)</w:t>
      </w:r>
      <w:r xml:space="preserve">
        <w:t> </w:t>
      </w:r>
      <w:r xml:space="preserve">
        <w:t> </w:t>
      </w:r>
      <w:r>
        <w:t xml:space="preserve">in response to established compliance reviews of the district's financial accounting practices and state and federal program requirements;</w:t>
      </w:r>
    </w:p>
    <w:p w:rsidR="003F3435" w:rsidRDefault="0032493E">
      <w:pPr>
        <w:spacing w:line="480" w:lineRule="auto"/>
        <w:ind w:firstLine="1440"/>
        <w:jc w:val="both"/>
      </w:pPr>
      <w:r>
        <w:t xml:space="preserve">(5)</w:t>
      </w:r>
      <w:r xml:space="preserve">
        <w:t> </w:t>
      </w:r>
      <w:r xml:space="preserve">
        <w:t> </w:t>
      </w:r>
      <w:r>
        <w:t xml:space="preserve">when extraordinary numbers of student placements in disciplinary alternative education programs, other than placements under Sections 37.006 and 37.007, are determined;</w:t>
      </w:r>
    </w:p>
    <w:p w:rsidR="003F3435" w:rsidRDefault="0032493E">
      <w:pPr>
        <w:spacing w:line="480" w:lineRule="auto"/>
        <w:ind w:firstLine="1440"/>
        <w:jc w:val="both"/>
      </w:pPr>
      <w:r>
        <w:t xml:space="preserve">(6)</w:t>
      </w:r>
      <w:r xml:space="preserve">
        <w:t> </w:t>
      </w:r>
      <w:r xml:space="preserve">
        <w:t> </w:t>
      </w:r>
      <w:r>
        <w:t xml:space="preserve">in response to an allegation involving a conflict between members of the board of trustees or between the board and the district administration if it appears that the conflict involves a violation of a role or duty of the board members or the administration clearly defined by this code;</w:t>
      </w:r>
    </w:p>
    <w:p w:rsidR="003F3435" w:rsidRDefault="0032493E">
      <w:pPr>
        <w:spacing w:line="480" w:lineRule="auto"/>
        <w:ind w:firstLine="1440"/>
        <w:jc w:val="both"/>
      </w:pPr>
      <w:r>
        <w:t xml:space="preserve">(7)</w:t>
      </w:r>
      <w:r xml:space="preserve">
        <w:t> </w:t>
      </w:r>
      <w:r xml:space="preserve">
        <w:t> </w:t>
      </w:r>
      <w:r>
        <w:t xml:space="preserve">when excessive numbers of students in special education programs under Subchapter A, Chapter 29, are assessed through assessment instruments developed or adopted under Section 39.023(b);</w:t>
      </w:r>
    </w:p>
    <w:p w:rsidR="003F3435" w:rsidRDefault="0032493E">
      <w:pPr>
        <w:spacing w:line="480" w:lineRule="auto"/>
        <w:ind w:firstLine="1440"/>
        <w:jc w:val="both"/>
      </w:pPr>
      <w:r>
        <w:t xml:space="preserve">(8)</w:t>
      </w:r>
      <w:r xml:space="preserve">
        <w:t> </w:t>
      </w:r>
      <w:r xml:space="preserve">
        <w:t> </w:t>
      </w:r>
      <w:r>
        <w:t xml:space="preserve">in response to an allegation regarding or an analysis using a statistical method result indicating a possible violation of an assessment instrument security procedure established under Section 39.0301, including for the purpose of investigating or auditing a school district under that section;</w:t>
      </w:r>
    </w:p>
    <w:p w:rsidR="003F3435" w:rsidRDefault="0032493E">
      <w:pPr>
        <w:spacing w:line="480" w:lineRule="auto"/>
        <w:ind w:firstLine="1440"/>
        <w:jc w:val="both"/>
      </w:pPr>
      <w:r>
        <w:t xml:space="preserve">(9)</w:t>
      </w:r>
      <w:r xml:space="preserve">
        <w:t> </w:t>
      </w:r>
      <w:r xml:space="preserve">
        <w:t> </w:t>
      </w:r>
      <w:r>
        <w:t xml:space="preserve">when a significant pattern of decreased academic performance has developed as a result of the promotion in the preceding two school years of students who did not perform satisfactorily as determined by the commissioner under Section 39.0241(a) on assessment instruments administered under Section 39.023(a), (c), or (1);</w:t>
      </w:r>
    </w:p>
    <w:p w:rsidR="003F3435" w:rsidRDefault="0032493E">
      <w:pPr>
        <w:spacing w:line="480" w:lineRule="auto"/>
        <w:ind w:firstLine="1440"/>
        <w:jc w:val="both"/>
      </w:pPr>
      <w:r>
        <w:t xml:space="preserve">(10)</w:t>
      </w:r>
      <w:r xml:space="preserve">
        <w:t> </w:t>
      </w:r>
      <w:r xml:space="preserve">
        <w:t> </w:t>
      </w:r>
      <w:r>
        <w:t xml:space="preserve">when excessive numbers of students eligible to enroll fail to complete an Algebra II course or any other advanced course as determined by the commissioner;</w:t>
      </w:r>
    </w:p>
    <w:p w:rsidR="003F3435" w:rsidRDefault="0032493E">
      <w:pPr>
        <w:spacing w:line="480" w:lineRule="auto"/>
        <w:ind w:firstLine="1440"/>
        <w:jc w:val="both"/>
      </w:pPr>
      <w:r>
        <w:t xml:space="preserve">(11)</w:t>
      </w:r>
      <w:r xml:space="preserve">
        <w:t> </w:t>
      </w:r>
      <w:r xml:space="preserve">
        <w:t> </w:t>
      </w:r>
      <w:r>
        <w:t xml:space="preserve">when resource allocation practices as evaluated under Section 39.0821 indicate a potential for significant improvement in resource allocation;</w:t>
      </w:r>
    </w:p>
    <w:p w:rsidR="003F3435" w:rsidRDefault="0032493E">
      <w:pPr>
        <w:spacing w:line="480" w:lineRule="auto"/>
        <w:ind w:firstLine="1440"/>
        <w:jc w:val="both"/>
      </w:pPr>
      <w:r>
        <w:t xml:space="preserve">(12)</w:t>
      </w:r>
      <w:r xml:space="preserve">
        <w:t> </w:t>
      </w:r>
      <w:r xml:space="preserve">
        <w:t> </w:t>
      </w:r>
      <w:r>
        <w:t xml:space="preserve">when a disproportionate number of students of a particular demographic group is graduating with a particular endorsement under Section 28.025(c-1);</w:t>
      </w:r>
    </w:p>
    <w:p w:rsidR="003F3435" w:rsidRDefault="0032493E">
      <w:pPr>
        <w:spacing w:line="480" w:lineRule="auto"/>
        <w:ind w:firstLine="1440"/>
        <w:jc w:val="both"/>
      </w:pPr>
      <w:r>
        <w:t xml:space="preserve">(13)</w:t>
      </w:r>
      <w:r xml:space="preserve">
        <w:t> </w:t>
      </w:r>
      <w:r xml:space="preserve">
        <w:t> </w:t>
      </w:r>
      <w:r>
        <w:t xml:space="preserve">when an excessive number of students is graduating with a particular endorsement under Section 28.025(c-1);</w:t>
      </w:r>
    </w:p>
    <w:p w:rsidR="003F3435" w:rsidRDefault="0032493E">
      <w:pPr>
        <w:spacing w:line="480" w:lineRule="auto"/>
        <w:ind w:firstLine="1440"/>
        <w:jc w:val="both"/>
      </w:pPr>
      <w:r>
        <w:t xml:space="preserve">(14)</w:t>
      </w:r>
      <w:r xml:space="preserve">
        <w:t> </w:t>
      </w:r>
      <w:r xml:space="preserve">
        <w:t> </w:t>
      </w:r>
      <w:r>
        <w:t xml:space="preserve">in response to a complaint submitted to the agency with respect to alleged inaccurate data that is reported through the Public Education Information Management System (PEIMS) or through other reports required by state or federal law or rule or court order and that is used by the agency to make a determination relating to public school accountability, including accreditation, under this chapter;</w:t>
      </w:r>
    </w:p>
    <w:p w:rsidR="003F3435" w:rsidRDefault="0032493E">
      <w:pPr>
        <w:spacing w:line="480" w:lineRule="auto"/>
        <w:ind w:firstLine="1440"/>
        <w:jc w:val="both"/>
      </w:pPr>
      <w:r>
        <w:t xml:space="preserve">(15)</w:t>
      </w:r>
      <w:r xml:space="preserve">
        <w:t> </w:t>
      </w:r>
      <w:r xml:space="preserve">
        <w:t> </w:t>
      </w:r>
      <w:r>
        <w:t xml:space="preserve">when 10 percent or more of the students graduating in a particular school year from a particular high school campus are awarded a diploma based on the determination of an individual graduation committee under Section 28.0258;</w:t>
      </w:r>
    </w:p>
    <w:p w:rsidR="003F3435" w:rsidRDefault="0032493E">
      <w:pPr>
        <w:spacing w:line="480" w:lineRule="auto"/>
        <w:ind w:firstLine="1440"/>
        <w:jc w:val="both"/>
      </w:pPr>
      <w:r>
        <w:t xml:space="preserve">(16)</w:t>
      </w:r>
      <w:r xml:space="preserve">
        <w:t> </w:t>
      </w:r>
      <w:r xml:space="preserve">
        <w:t> </w:t>
      </w:r>
      <w:r>
        <w:t xml:space="preserve">when a school district for any reason fails to produce, at the request of the agency, evidence or an investigation report relating to an educator who is under investigation by the State Board for Educator Certification;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rPr>
          <w:u w:val="single"/>
        </w:rPr>
        <w:t xml:space="preserve">by the division of inspector general for education established under Chapter 452, Government Code, for the purpose of investigating: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allegations of fraud, waste, and abuse in the administration of public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violations of school safety and security, including audits conducted under Section 37.108, Section 37.1081, Section 37.1082, and Section 37.109, and other violations of this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violations of this code by school employees, school representatives, or contractors involved in public schools; or</w:t>
      </w:r>
    </w:p>
    <w:p w:rsidR="003F3435" w:rsidRDefault="0032493E">
      <w:pPr>
        <w:spacing w:line="480" w:lineRule="auto"/>
        <w:ind w:firstLine="1440"/>
        <w:jc w:val="both"/>
      </w:pPr>
      <w:r>
        <w:rPr>
          <w:u w:val="single"/>
        </w:rPr>
        <w:t xml:space="preserve">(18)</w:t>
      </w:r>
      <w:r xml:space="preserve">
        <w:t> </w:t>
      </w:r>
      <w:r xml:space="preserve">
        <w:t> </w:t>
      </w:r>
      <w:r>
        <w:t xml:space="preserve">as the commissioner otherwise determines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D, Title 4, Government Code, is amended by adding Chapter 452 to read as follows:</w:t>
      </w:r>
    </w:p>
    <w:p w:rsidR="003F3435" w:rsidRDefault="0032493E">
      <w:pPr>
        <w:spacing w:line="480" w:lineRule="auto"/>
        <w:jc w:val="center"/>
      </w:pPr>
      <w:r>
        <w:rPr>
          <w:u w:val="single"/>
        </w:rPr>
        <w:t xml:space="preserve">CHAPTER 452.  INSPECTOR GENERAL FOR EDUCATION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division of inspector general for education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"Fraud" means an intentional deception or misrepresentation made by a person with the knowledge that the deception or misrepresentation could result in some unauthorized benefit to that person or some other person.  The term includes any act that constitutes fraud under applicable federal or state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education agency" includes a school district or county system described by Subchapter G, Chapter 11,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452.002.</w:t>
      </w:r>
      <w:r>
        <w:rPr>
          <w:u w:val="single"/>
        </w:rPr>
        <w:t xml:space="preserve"> </w:t>
      </w:r>
      <w:r>
        <w:rPr>
          <w:u w:val="single"/>
        </w:rPr>
        <w:t xml:space="preserve"> </w:t>
      </w:r>
      <w:r>
        <w:rPr>
          <w:u w:val="single"/>
        </w:rPr>
        <w:t xml:space="preserve">DIVISION OF INSPECTOR GENERAL FOR EDUCATION.  (a)  The division of inspector general for education is established 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appoint an inspector general to serve as director of the division.  The inspector general serves until removed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of the governor shall provide staff and administrative resources and support services as necessary to ensure that investigations and reviews authorized by this chapter are conducted expeditiously.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provide the inspector general full access to all data under the agency's control, including all Public Education Information Management System (PEIMS) data and other data pertaining to school disciplinary records.</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452.051.</w:t>
      </w:r>
      <w:r>
        <w:rPr>
          <w:u w:val="single"/>
        </w:rPr>
        <w:t xml:space="preserve"> </w:t>
      </w:r>
      <w:r>
        <w:rPr>
          <w:u w:val="single"/>
        </w:rPr>
        <w:t xml:space="preserve"> </w:t>
      </w:r>
      <w:r>
        <w:rPr>
          <w:u w:val="single"/>
        </w:rPr>
        <w:t xml:space="preserve">GENERAL RESPONSIBILITIES.  (a)  The division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investigation, prevention, and detection of wrongdoing and fraud, waste, and abuse in the administration of public education by school districts, open-enrollment charter schools, regional education service centers, and other local education agencies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investigation of actions taken by school districts, open-enrollment charter schools, regional education service centers, and other local education agencies in this state in relation to violations of school safety and security and other violations of the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investigate: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allegations of fraud, waste, and abuse and violations of the Education Code or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violations of school safety and security, including audits under Section 37.108, Section 37.1081, Section 37.1082, and Section 37.109;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allegations of violations of the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civil and administrative investigations and initiate reviews of a school district, an open-enrollment charter school, a regional education service center, or another local education agency as considered appropriate by the inspector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audits of the use of funds, including funds used for school security, by a school district, an open-enrollment charter school, a regional education service center, or another local education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complaints from any source and investigate on its own initiative;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special investigations authorized by the commissioner of education under Section 39.003(a),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findings of fact that a school district, an open-enrollment charter school, a regional education service center, or another local education agency or an employee or agent of one of those entities committed an act of wrongdoing, fraud, waste, or abuse in the administration of public education and take appropriate action as determined by the governor in consultation with the commissioner of education, regardless of any time requirement relating to the action under Chapter 8, 12, or 39A,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after finding that there has been a violation of school safety and security, prescribe binding corrective or disciplinary action to be taken;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review audits conducted under Section 37.108, Section 37.1081, Section 37.1082, and Section 37.109.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of education may take control of the management of any part of an entity described by Subsection (c)(5) for which the division finds a violation of school safety and security under Subsection (c)(6).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may order the division to conduct a forensic audit of any school district, open-enrollment charter school, regional education service center, or other local education agency in this state.  The entity for which the audit was ordered shall pay the costs of the audit.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division shall perform all other duties and exercise all other powers granted to the division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452.052.</w:t>
      </w:r>
      <w:r>
        <w:rPr>
          <w:u w:val="single"/>
        </w:rPr>
        <w:t xml:space="preserve"> </w:t>
      </w:r>
      <w:r>
        <w:rPr>
          <w:u w:val="single"/>
        </w:rPr>
        <w:t xml:space="preserve"> </w:t>
      </w:r>
      <w:r>
        <w:rPr>
          <w:u w:val="single"/>
        </w:rPr>
        <w:t xml:space="preserve">GENERAL POWERS.  (a)  The division has all the powers necessary or appropriate to carry out its responsibilities and functions under this chapter and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in conducting an investigation under this chapter of the board of trustees of a school district, the governing body of an open-enrollment charter school, the board of directors of a regional education service center or another local education agency, or the executive leadership of any of those entities,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any meeting or proceeding of the school district, open-enrollment charter school, regional education service center, or other local education agency, including a meeting or proceeding that is closed to the public, except for a private consultation of the entity with its attorney permitted under Section 551.071;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the records, documents, and files of the school district, open-enrollment charter school, regional education service center, or other local education agency, including any record, document, or file that is not subject to public disclosure under Chapter 552 or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division's authority under Subsection (b) applies only to a meeting, a proceeding, or information that is relevant to the discovery of relevant information regarding an allegation of wrongdoing or a violation of the Education Code or of fraud, waste, or abuse in the administration of public education by a person or entity described by Subsection (b).  The division may not inspect a record, document, or file that is a privileged communication between an individual and the individual's attorney.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inspection or disclosure of a record, document, or file for purposes of an investigation under this chapter is not a voluntary disclosure under Section 552.007.  A record, document, or file made available to the division for purposes of an investigation under this chapter is not subject to public disclosure by the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inspector general may prescribe binding disciplinary action and a corrective timeline for any entity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inspector general shall have full access to all data under the agency's control, including all Public Education Information Management System (PEIMS) data and other data pertaining to school disciplinary records.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inspector general may review all audits under conducted under Section 37.108, Section 37.1081, Section 37.1082, and Section 37.109.  The inspector general may issue binding corrective timelines and disciplinary actions for emergency operations plan noncompliance.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appoint the inspector general as a conservator under Section 37.1082.</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452.053.</w:t>
      </w:r>
      <w:r>
        <w:rPr>
          <w:u w:val="single"/>
        </w:rPr>
        <w:t xml:space="preserve"> </w:t>
      </w:r>
      <w:r>
        <w:rPr>
          <w:u w:val="single"/>
        </w:rPr>
        <w:t xml:space="preserve"> </w:t>
      </w:r>
      <w:r>
        <w:rPr>
          <w:u w:val="single"/>
        </w:rPr>
        <w:t xml:space="preserve">SUBPOENAS. </w:t>
      </w:r>
      <w:r>
        <w:rPr>
          <w:u w:val="single"/>
        </w:rPr>
        <w:t xml:space="preserve"> </w:t>
      </w:r>
      <w:r>
        <w:rPr>
          <w:u w:val="single"/>
        </w:rPr>
        <w:t xml:space="preserve">(a)  The inspector general may issue a subpoena to compel the attendance of a relevant witness at a hearing or deposition under this chapter or to compel the production, for inspection or copying, of books, papers, records, documents, or other relevant materials, including electronic data, in connection with an investigation, review, hearing, or deposition conducted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subpoena may be served personally or by certified mail.  If a person fails to comply with a subpoena, the inspector general, acting through the attorney general, may file suit to enforce the subpoena in a district court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finding that good cause exists for issuing the subpoena, the court shall order the person to comply with the subpoena.  The court may hold in contempt a person who fails to obey the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452.054.</w:t>
      </w:r>
      <w:r>
        <w:rPr>
          <w:u w:val="single"/>
        </w:rPr>
        <w:t xml:space="preserve"> </w:t>
      </w:r>
      <w:r>
        <w:rPr>
          <w:u w:val="single"/>
        </w:rPr>
        <w:t xml:space="preserve"> </w:t>
      </w:r>
      <w:r>
        <w:rPr>
          <w:u w:val="single"/>
        </w:rPr>
        <w:t xml:space="preserve">COOPERATION WITH OTHER ENTITIES.  The division may refer matters for further civil and administrative action to appropriate administrative agencies, including the attorney general.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