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88S30138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H.J.R.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the total market value of the residence homesteads of certain elderly persons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person is entitled to an exemption from ad valorem taxation of the total market value of the person's residence homestead if the person is 72 years of age or older and the person has received an exemption under this section for the residence homestead for at least the preceding 10 years. The surviving spouse of a person who received an exemption under this subsection for the residence homestead of a person 72 years of age or older is entitled to an exemption from ad valorem taxation of the total market value of the same property if the deceased spouse died in a year in which the deceased spouse received the exemption, the surviving spouse was 55 years of age or older when the deceased spouse died, and the property was the residence homestead of the surviving spouse when the deceased spouse died and remains the residence homestead of the surviving spouse.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3rd Called Session, 2023, to exempt from ad valorem taxation the total market value of the residence homesteads of certain elderly persons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1-b(q), Article VIII, of this constitution takes effect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5, 2024. The ballot shall be printed to permit voting for or against the proposition:  "The constitutional amendment to exempt from ad valorem taxation the total market value of the residence homestead of a person 72 years of age or older or the person's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