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88S31067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appropriation for border security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(a)  The amount of $1,567,428,000 is appropriated from the general revenue fund to the Trusteed Programs within the Office of the Governor for use during the two-year period beginning on the effective date of this Act for the purpose of providing funding for border security operations.</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Trusteed Programs within the Office of the Governor shall use $17,428,000 to support the border prosecution unit established under Subchapter B, Chapter 772, Government Code.</w:t>
      </w:r>
    </w:p>
    <w:p w:rsidR="003F3435" w:rsidRDefault="0032493E">
      <w:pPr>
        <w:spacing w:line="480" w:lineRule="auto"/>
        <w:ind w:firstLine="720"/>
        <w:jc w:val="both"/>
      </w:pPr>
      <w:r>
        <w:t xml:space="preserve">(c)</w:t>
      </w:r>
      <w:r xml:space="preserve">
        <w:t> </w:t>
      </w:r>
      <w:r xml:space="preserve">
        <w:t> </w:t>
      </w:r>
      <w:r>
        <w:t xml:space="preserve">Of the amount appropriated by Subsection (a) of this section, the Trusteed Programs within the Office of the Governor shall use $10,000,000 to provide grants to local governments to mitigate the potential costs of additional demands on local prosecutorial and correctional resources, contingent upon enactment of Senate Bill 11 or similar legislation by the 88th Legislature, 3rd Called Session, 2023.</w:t>
      </w:r>
    </w:p>
    <w:p w:rsidR="003F3435" w:rsidRDefault="0032493E">
      <w:pPr>
        <w:spacing w:line="480" w:lineRule="auto"/>
        <w:ind w:firstLine="720"/>
        <w:jc w:val="both"/>
      </w:pPr>
      <w:r>
        <w:t xml:space="preserve">(d)</w:t>
      </w:r>
      <w:r xml:space="preserve">
        <w:t> </w:t>
      </w:r>
      <w:r xml:space="preserve">
        <w:t> </w:t>
      </w:r>
      <w:r>
        <w:t xml:space="preserve">Of the amount appropriated by Subsection (a) of this section, the Trusteed Programs within the Office of the Governor shall transfer $40,000,000 to the Department of Public Safety for the purpose of responding to the border crisis.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