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88S30509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an employer from adopting or enforcing certain COVID-19 vaccine mandates;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81D to read as follows:</w:t>
      </w:r>
    </w:p>
    <w:p w:rsidR="003F3435" w:rsidRDefault="0032493E">
      <w:pPr>
        <w:spacing w:line="480" w:lineRule="auto"/>
        <w:jc w:val="center"/>
      </w:pPr>
      <w:r>
        <w:rPr>
          <w:u w:val="single"/>
        </w:rPr>
        <w:t xml:space="preserve">CHAPTER 81D.  PROHIBITED CORONAVIRUS VACCINE MANDATES BY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action" means an action taken by an employer that a reasonable person would consider was for the purpose of punishing, alienating, or otherwise adversely affecting an employee, contractor, applicant for employment, or applicant for a contract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"COVID-19" means the 2019 novel coronavirus disease and any variants of the disease.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"Employer" means a person who employs one or more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81D.002.</w:t>
      </w:r>
      <w:r>
        <w:rPr>
          <w:u w:val="single"/>
        </w:rPr>
        <w:t xml:space="preserve"> </w:t>
      </w:r>
      <w:r>
        <w:rPr>
          <w:u w:val="single"/>
        </w:rPr>
        <w:t xml:space="preserve"> </w:t>
      </w:r>
      <w:r>
        <w:rPr>
          <w:u w:val="single"/>
        </w:rPr>
        <w:t xml:space="preserve">EMPLOYER CORONAVIRUS VACCINE MANDATES PROHIBITED.  An employer may not adopt or enforce a mandate requiring an employee, contractor, applicant for employment, or applicant for a contract position to be vaccinated against COVID-19 as a condition of employment or a contract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81D.003.</w:t>
      </w:r>
      <w:r>
        <w:rPr>
          <w:u w:val="single"/>
        </w:rPr>
        <w:t xml:space="preserve"> </w:t>
      </w:r>
      <w:r>
        <w:rPr>
          <w:u w:val="single"/>
        </w:rPr>
        <w:t xml:space="preserve"> </w:t>
      </w:r>
      <w:r>
        <w:rPr>
          <w:u w:val="single"/>
        </w:rPr>
        <w:t xml:space="preserve">PROHIBITED ADVERSE ACTION BY EMPLOYER.  An employer may not take an adverse action against an employee, contractor, applicant for employment, or applicant for a contract position for a refusal to be vaccinated against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81D.004.</w:t>
      </w:r>
      <w:r>
        <w:rPr>
          <w:u w:val="single"/>
        </w:rPr>
        <w:t xml:space="preserve"> </w:t>
      </w:r>
      <w:r>
        <w:rPr>
          <w:u w:val="single"/>
        </w:rPr>
        <w:t xml:space="preserve"> </w:t>
      </w:r>
      <w:r>
        <w:rPr>
          <w:u w:val="single"/>
        </w:rPr>
        <w:t xml:space="preserve">COMPLAINT; INVESTIGATION.  (a)  An employee, contractor, applicant for employment, or applicant for a contract position against whom an employer took an adverse action in violation of this chapter may file a complaint with the commission in the form and manner prescribed by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with the commission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employer;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description of any alleged adverse action the employer took against the complainant.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complaint under Subsection (a), the commission shall conduct an investigation to determine whether the employer took an adverse action against the complainant because of the complainant's refusal to be vaccinated against COVID-19.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prescribing the procedures for accepting complaints and conducting investigations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81D.005.</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The attorney general may bring an action for injunctive relief against the employer to prevent further violations of this chapter by the employer. The action must be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alleged adverse action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injunction issued under Subsection (a), a court may include reasonable requirements to prevent further violations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81D.006.</w:t>
      </w:r>
      <w:r>
        <w:rPr>
          <w:u w:val="single"/>
        </w:rPr>
        <w:t xml:space="preserve"> </w:t>
      </w:r>
      <w:r>
        <w:rPr>
          <w:u w:val="single"/>
        </w:rPr>
        <w:t xml:space="preserve"> </w:t>
      </w:r>
      <w:r>
        <w:rPr>
          <w:u w:val="single"/>
        </w:rPr>
        <w:t xml:space="preserve">ADMINISTRATIVE PENALTY.  The commission may impose on an employer who violates this chapter an administrative penalty of not more than $1,000 for each violation, unless the employer,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hires the applicant for employment or offers a contract to the applicant for a contract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reinstates the employee or contractor and provides the employee or contractor with back pay from the date the employer took the adverse action and makes every reasonable effort to reverse the effects of the adverse action, including reestablishing employee benefits for which the employee or contractor otherwise would have been eligible if the adverse action had not been taken.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conduct or an adverse action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