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municipality or county using public funds to compensate or contract with an individual required to register as a lobbyist under Chapter 305 for the purpose of influencing or attempting to influence the outcome of legislation related to the military, military service members, or military veterans.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full-time employee of a nonprofit state association or organization that primarily represents political subdivisions of this state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legislative services, including services related to bill tracking, bill analysis, and legislative alerts;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communicating directly with a member of the legislature to provide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for or against legislation before a legislative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