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88S30052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required recapture payments for certain school districts with excess facilities costs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49.1571.</w:t>
      </w:r>
      <w:r>
        <w:rPr>
          <w:u w:val="single"/>
        </w:rPr>
        <w:t xml:space="preserve"> </w:t>
      </w:r>
      <w:r>
        <w:rPr>
          <w:u w:val="single"/>
        </w:rPr>
        <w:t xml:space="preserve"> </w:t>
      </w:r>
      <w:r>
        <w:rPr>
          <w:u w:val="single"/>
        </w:rPr>
        <w:t xml:space="preserve">CREDIT FOR CERTAIN FACILITIES COSTS.  (a) </w:t>
      </w:r>
      <w:r>
        <w:rPr>
          <w:u w:val="single"/>
        </w:rPr>
        <w:t xml:space="preserve"> </w:t>
      </w:r>
      <w:r>
        <w:rPr>
          <w:u w:val="single"/>
        </w:rPr>
        <w:t xml:space="preserve">This section applies only to a school district located in a county that borders on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required under Section 49.153 for a school district to which this section applies to purchase attendance credit under this subchapter for any school year is reduced by an amount equal to the amount of money spent by the district in the preceding school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necessary facility maintenance, renovations, and repairs attributable to damage resulting from natural conditions associated with the facility's proximity to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property insurance to cover the costs of facility maintenance, renovations, and repairs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reduction under Subsection (b)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