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88S30155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information for a current or former administrative law judge for the State Office of Administrative Hearings.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552.117,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the exceptions provided by Subsection (a), information is excepted from the requirements of Section 552.021 if it is information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relates to the home address, home telephone number, emergency contact information, or social security number of a current or former administrative law judge for the State Office of Administrative Hearings, regardless of whether the person complies with Section 552.024 or 552.1175;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reveals whether a person described by Subdivision (1) has family members.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552.1175,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the individuals described by Subsection (a), this section applies to a current or former administrative law judge for the State Office of Administrative Hearings.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25.025, Tax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In addition to the individuals described by Subsection (a), this section applies to a current or former administrative law judge for the State Office of Administrative Hearings.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request for information that is received by a governmental body or an officer on or after the effective date of this Act.  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