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88S30204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or acquisition of title to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r xml:space="preserve">
        <w:t> </w:t>
      </w:r>
      <w:r xml:space="preserve">
        <w:t> </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OF OR ACQUISITION OF TITLE TO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viticulture, horticulture, or planting seed;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 means ownership of at least 50 percent of the voting ownership interest of an organization necessary to elect a governing person or governing authority of an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country" means a country identified by the United States Director of National Intelligence as a country that poses a risk to the national security of the United States in each of the three most recent Annual Threat Assessments of the U.S. Intelligence Community issued pursuant to Section 108B, National Security Act of 1947 (50 U.S.C. Section 3043b).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authority," "governing person," and "organization" have the meanings assigned by Section 1.002, Business Organizations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"Real property"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mineral in place;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standing timber.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LAWFUL PERMANENT RESIDENTS; RESIDENCE HOMESTEAD PROPERTY; LEASEHOLD.  (a)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 including an individual who is a citizen of a foreign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owned by or under the control of one or more individuals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real property that is an individual's residence homestead, as defined by Section 11.13(j),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apply to a leasehold interest in land or improvements constructed upon a leasehold.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OF OR ACQUISITION OF TITLE TO REAL PROPERTY.</w:t>
      </w:r>
      <w:r>
        <w:rPr>
          <w:u w:val="single"/>
        </w:rPr>
        <w:t xml:space="preserve"> </w:t>
      </w:r>
      <w:r>
        <w:rPr>
          <w:u w:val="single"/>
        </w:rPr>
        <w:t xml:space="preserve"> </w:t>
      </w:r>
      <w:r>
        <w:rPr>
          <w:u w:val="single"/>
        </w:rPr>
        <w:t xml:space="preserve">(a) In this section, "risk to the health, safety, and welfare of the public" includes a likelihood that an individual or entity will engage in an 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of state or federal criminal law;</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corporate espionage;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nuisance;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or threatens to cause bodily injury to a person, including the introduction of a dangerous disease or dangerous substance into an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5.252 and notwithstanding any other law, the following may not purchase or otherwise acquire title to real property in this state if the purchase of or acquisition of title to the property by the individual or entity would create a risk to the health, safety, and welfare of the public: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under the control of the government of a designated country;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under the control of one or more individuals who are citizens of a designated country;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under the control of a company or entity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 citizen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ATTORNEY GENERAL ENFORCEMENT.  If the attorney general has a reasonable suspicion that the purchase of or acquisition of title to real property in this state by an individual or entity in violation of this subchapter creates a risk to the health, safety, and welfare of the public, as defined by Section 5.253, the attorney general may bring an action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DISCOVERY; SECRETARY OF STATE INTERROGATORIES AND RECORDS.  (a)  The attorney general may conduct discovery in an action brought under Section 5.254.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 company or other entity that is the subject of an action by the attorney general under Section 5.254;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 company or other entity that is the subject of an action by the attorney general under Section 5.254.</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APPOINTMENT OF RECEIVER.  (a)  If the district court finds that the real property subject to an action brought under Section 5.254 was purchased or otherwise acquired by an individual or entity in violation of Section 5.253,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manage and control the real property pending the sale or other disposition of the real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individual or entity any proceeds of the sale or other disposition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the purchase of or other acquisition of title to real property on or after the effective date of this Act.  The purchase of or other acquisition of title to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