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53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annual adjustment to the basic allotment under the Foundation School Program to reflect inflation.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48.051, Education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adjustment under Subsection (a-1), for</w:t>
      </w:r>
      <w:r>
        <w:t xml:space="preserve"> [</w:t>
      </w:r>
      <w:r>
        <w:rPr>
          <w:strike/>
        </w:rPr>
        <w:t xml:space="preserve">For</w:t>
      </w:r>
      <w:r>
        <w:t xml:space="preserve">] each student in average daily attendance, not including the time students spend each day in special education programs in an instructional arrangement other than mainstream or career and technology education programs, for which an additional allotment is made under Subchapter C, a district is entitled to an allotment equal to the lesser of </w:t>
      </w:r>
      <w:r>
        <w:rPr>
          <w:u w:val="single"/>
        </w:rPr>
        <w:t xml:space="preserve">$7,365</w:t>
      </w:r>
      <w:r>
        <w:t xml:space="preserve"> [</w:t>
      </w:r>
      <w:r>
        <w:rPr>
          <w:strike/>
        </w:rPr>
        <w:t xml:space="preserve">$6,160</w:t>
      </w:r>
      <w:r>
        <w:t xml:space="preserve">] or the amount that results from the following formula:</w:t>
      </w:r>
    </w:p>
    <w:p w:rsidR="003F3435" w:rsidRDefault="0032493E">
      <w:pPr>
        <w:spacing w:line="480" w:lineRule="auto"/>
        <w:jc w:val="center"/>
      </w:pPr>
      <w:r>
        <w:t xml:space="preserve">A = </w:t>
      </w:r>
      <w:r>
        <w:rPr>
          <w:u w:val="single"/>
        </w:rPr>
        <w:t xml:space="preserve">$7,365</w:t>
      </w:r>
      <w:r>
        <w:t xml:space="preserve"> [</w:t>
      </w:r>
      <w:r>
        <w:rPr>
          <w:strike/>
        </w:rPr>
        <w:t xml:space="preserve">$6,160</w:t>
      </w:r>
      <w:r>
        <w:t xml:space="preserve">] X TR/MCR</w:t>
      </w:r>
    </w:p>
    <w:p w:rsidR="003F3435" w:rsidRDefault="0032493E">
      <w:pPr>
        <w:spacing w:line="480" w:lineRule="auto"/>
        <w:jc w:val="both"/>
      </w:pPr>
      <w:r>
        <w:t xml:space="preserve">where:</w:t>
      </w:r>
    </w:p>
    <w:p w:rsidR="003F3435" w:rsidRDefault="0032493E">
      <w:pPr>
        <w:spacing w:line="480" w:lineRule="auto"/>
        <w:ind w:firstLine="720"/>
        <w:jc w:val="both"/>
      </w:pPr>
      <w:r>
        <w:t xml:space="preserve">"A" is the allotment to which a district is entitled;</w:t>
      </w:r>
    </w:p>
    <w:p w:rsidR="003F3435" w:rsidRDefault="0032493E">
      <w:pPr>
        <w:spacing w:line="480" w:lineRule="auto"/>
        <w:ind w:firstLine="720"/>
        <w:jc w:val="both"/>
      </w:pPr>
      <w:r>
        <w:t xml:space="preserve">"TR" is the district's tier one maintenance and operations tax rate, as provided by Section 45.0032; and</w:t>
      </w:r>
    </w:p>
    <w:p w:rsidR="003F3435" w:rsidRDefault="0032493E">
      <w:pPr>
        <w:spacing w:line="480" w:lineRule="auto"/>
        <w:ind w:firstLine="720"/>
        <w:jc w:val="both"/>
      </w:pPr>
      <w:r>
        <w:t xml:space="preserve">"MCR" is the district's maximum compressed tax rate, as determined under Section 48.2551.</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Beginning with the 2025-2026 school year, the basic allotment provided to a district under Subsection (a) or (b) is adjusted annually to increase the allotment by the amount that results from applying the inflation rate, as determined by the comptroller on the basis of changes in the Consumer Price Index for All Urban Consumers published by the Bureau of Labor Statistics of the United States Department of Labor, to the allotment for the preceding school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48.202(a-1), Education Code, is amended to read as follows:</w:t>
      </w:r>
    </w:p>
    <w:p w:rsidR="003F3435" w:rsidRDefault="0032493E">
      <w:pPr>
        <w:spacing w:line="480" w:lineRule="auto"/>
        <w:ind w:firstLine="720"/>
        <w:jc w:val="both"/>
      </w:pPr>
      <w:r>
        <w:t xml:space="preserve">(a-1)</w:t>
      </w:r>
      <w:r xml:space="preserve">
        <w:t> </w:t>
      </w:r>
      <w:r xml:space="preserve">
        <w:t> </w:t>
      </w:r>
      <w:r>
        <w:t xml:space="preserve">For purposes of Subsection (a), the dollar amount guaranteed level of state and local funds per weighted student per cent of tax effort ("GL") for a school district is:</w:t>
      </w:r>
    </w:p>
    <w:p w:rsidR="003F3435" w:rsidRDefault="0032493E">
      <w:pPr>
        <w:spacing w:line="480" w:lineRule="auto"/>
        <w:ind w:firstLine="1440"/>
        <w:jc w:val="both"/>
      </w:pPr>
      <w:r>
        <w:t xml:space="preserve">(1)</w:t>
      </w:r>
      <w:r xml:space="preserve">
        <w:t> </w:t>
      </w:r>
      <w:r xml:space="preserve">
        <w:t> </w:t>
      </w:r>
      <w:r>
        <w:t xml:space="preserve">the greater of the amount of district tax revenue per weighted student per cent of tax effort available to a school district at the 96th percentile of wealth per weighted student or the amount that results from multiplying </w:t>
      </w:r>
      <w:r>
        <w:rPr>
          <w:u w:val="single"/>
        </w:rPr>
        <w:t xml:space="preserve">7,365</w:t>
      </w:r>
      <w:r>
        <w:t xml:space="preserve"> [</w:t>
      </w:r>
      <w:r>
        <w:rPr>
          <w:strike/>
        </w:rPr>
        <w:t xml:space="preserve">6,160</w:t>
      </w:r>
      <w:r>
        <w:t xml:space="preserve">], or the greater amount provided under Section </w:t>
      </w:r>
      <w:r>
        <w:rPr>
          <w:u w:val="single"/>
        </w:rPr>
        <w:t xml:space="preserve">48.051(a-1) or (b)</w:t>
      </w:r>
      <w:r>
        <w:t xml:space="preserve"> [</w:t>
      </w:r>
      <w:r>
        <w:rPr>
          <w:strike/>
        </w:rPr>
        <w:t xml:space="preserve">48.051(b)</w:t>
      </w:r>
      <w:r>
        <w:t xml:space="preserve">], if applicable, by 0.016, for the first eight cents by which the district's maintenance and operations tax rate exceeds the district's tier one tax rate; and</w:t>
      </w:r>
    </w:p>
    <w:p w:rsidR="003F3435" w:rsidRDefault="0032493E">
      <w:pPr>
        <w:spacing w:line="480" w:lineRule="auto"/>
        <w:ind w:firstLine="1440"/>
        <w:jc w:val="both"/>
      </w:pPr>
      <w:r>
        <w:t xml:space="preserve">(2)</w:t>
      </w:r>
      <w:r xml:space="preserve">
        <w:t> </w:t>
      </w:r>
      <w:r xml:space="preserve">
        <w:t> </w:t>
      </w:r>
      <w:r>
        <w:t xml:space="preserve">subject to Subsection (f), the amount that results from multiplying </w:t>
      </w:r>
      <w:r>
        <w:rPr>
          <w:u w:val="single"/>
        </w:rPr>
        <w:t xml:space="preserve">$7,365</w:t>
      </w:r>
      <w:r>
        <w:t xml:space="preserve"> [</w:t>
      </w:r>
      <w:r>
        <w:rPr>
          <w:strike/>
        </w:rPr>
        <w:t xml:space="preserve">$6,160</w:t>
      </w:r>
      <w:r>
        <w:t xml:space="preserve">], or the greater amount provided under Section </w:t>
      </w:r>
      <w:r>
        <w:rPr>
          <w:u w:val="single"/>
        </w:rPr>
        <w:t xml:space="preserve">48.051(a-1) or (b)</w:t>
      </w:r>
      <w:r>
        <w:t xml:space="preserve"> [</w:t>
      </w:r>
      <w:r>
        <w:rPr>
          <w:strike/>
        </w:rPr>
        <w:t xml:space="preserve">48.051(b)</w:t>
      </w:r>
      <w:r>
        <w:t xml:space="preserve">], if applicable, by 0.008, for the district's maintenance and operations tax effort that exceeds the amount of tax effort described by Subdivision (1).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February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