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88S30167 MEW-D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Johnson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54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establishment of a grant program for school districts or open-enrollment charter school campuses that are designated as full-service community schools.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33, Education Code, is amended by adding Section 33.910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33.910.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GRANT PROGRAM FOR FULL-SERVICE COMMUNITY SCHOOLS.  (a)  From funds appropriated or otherwise available for that purpose, the commissioner shall establish a program to provide grants to school districts and open-enrollment charter schools with campuses designated by the commissioner as full-service community schools.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 may designate a school district or open-enrollment charter school campus as a full-service community school if the campus provides comprehensive academic, social, and health services for students, students' family members, and community members that result in improved educational outcomes.  Services provided by a campus may include: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high-quality early learning programs and services;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compensatory and remedial education services, aligned with academic supports and other enrichment activities to provide students with a comprehensive academic program;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family engagement, including parental involvement, parental leadership, family literacy, and parent education programs;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mentoring and other youth development programs;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community service and service learning opportunities;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programs that provide assistance to students who have: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been chronically absent;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engaged in truant behavior;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been suspended or expelled;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(7)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job training and career counseling services;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(8)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nutrition services and physical activities;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(9)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primary health and dental care services;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(10)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mental health services;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activities that improve access to and use of social service programs;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programs that promote family financial stability;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adult education programs, including programs for providing instruction in English as a second language to adults.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 may solicit and accept gifts, grants, and donations from any public or private source for the purposes of this section.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 shall adopt rules as necessary to establish and administer the grant program for full-service community schools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As soon as practicable after the effective date of this Act, the Texas Education Agency shall adopt rules for the administration of Section 33.910, Education Code, as added by this Act.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54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