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cost-of-living adjustment applicable to certain benefits paid by the Employees Retirement System of Texas and a biennial study on providing additional adjustments based on the effects of increased inflation.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814, Government Code, is amended by adding Section 814.605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814.605.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ONE-TIME ADJUSTMENT TO BENEFITS.  (a)  The amount of a monthly service retirement benefit, disability retirement benefit, or death benefit paid under this chapter to a retiree or beneficiary for service credited in the employee class is increased to include a one-time 10 percent adjustment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recompute the amount of a benefit paid monthly under this chapter by applying the 10 percent adjustment to the monthly amount otherwise required to be paid as determined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815, Government Code, is amended by adding Section 815.5105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815.5105.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STUDY AND REPORT ON PROVIDING ADDITIONAL COST-OF-LIVING ADJUSTMENTS BASED ON EFFECTS OF INFLATION.  Not later than January 1 of each odd-numbered year, the retirement system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study to evaluate and identify the effects, if any, that increased inflation has had on annuitants of the system: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state fiscal biennium;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since annuitants last received a cost-of-living adjustment;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a written report to the legislature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findings of the study;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appropriate, recommendations for potential legislation to address any adverse effects of inflation identified under Subdivision (1), including specific recommendations regarding whether and in what amount the legislature would need to provide a cost-of-living adjustment to the benefits of annuitants to remedy those effects.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814.604,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814.605, Government Code, as added by this Act, applies only to a monthly benefit payment made by the Employees Retirement System of Texas on or after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