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88S30094 KSM-D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School districts in counties along the state's Gulf Coast are subject to greater expenses than their inland counterparts;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Due to their geographical location, districts in coastal counties are confronted with exceptional costs that are expected to continue to rise; recent years have seen more frequent and intense hurricanes and rainfall, leading to significant expenditures for maintenance, renovations, and repairs; moreover, insurance premiums are climbing as companies reassess risk in regions that are particularly vulnerable to extreme weather events;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Currently, the recapture formulas of the public school finance system do not take into consideration the elevated expenses borne by school districts in counties along the Gulf Coast;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Texas, 3rd Called Session, hereby request that the Lieutenant Governor and the Speaker of the House of Representatives create a joint interim committee to study issuance of credit against required recapture payments for Gulf Coast county school districts with excess facilities costs;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committee submit a full report, including findings and recommendations, to the 89th Texas Legislature in January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