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88S30123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S.J.R.</w:t>
      </w:r>
      <w:r xml:space="preserve">
        <w:t> </w:t>
      </w:r>
      <w:r>
        <w:t xml:space="preserve">No.</w:t>
      </w:r>
      <w:r xml:space="preserve">
        <w:t> </w:t>
      </w:r>
      <w:r>
        <w:t xml:space="preserve">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establishing a parent's right to direct a child's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 </w:t>
      </w:r>
      <w:r>
        <w:rPr>
          <w:u w:val="single"/>
        </w:rPr>
        <w:t xml:space="preserve"> </w:t>
      </w:r>
      <w:r>
        <w:rPr>
          <w:u w:val="single"/>
        </w:rPr>
        <w:t xml:space="preserve">(a) </w:t>
      </w:r>
      <w:r>
        <w:rPr>
          <w:u w:val="single"/>
        </w:rPr>
        <w:t xml:space="preserve"> </w:t>
      </w:r>
      <w:r>
        <w:rPr>
          <w:u w:val="single"/>
        </w:rPr>
        <w:t xml:space="preserve">In this section, "parent" means a natural parent, stepparent, adoptive parent, legal guardian, or other legal custodian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has the right to direct the education of the parent's child, including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reasonable choices within the public school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choose an alternative to public education, such as a private school, including a parochial school or home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access and view public school teaching materials, textbooks and other instructional materials, and library books;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attend meetings of the governing body of a public school;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access public school student records for the parent's child, including the child's student health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rights described by Subsection (b) of this section may not be denied or restricted because the parent or the child is an individual with a disability.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general law may provide for processes to ensure that the rights described by Subsection (b) of this section are upheld.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May 4, 2024.  The ballot shall be printed to permit voting for or against the proposition:  "The constitutional amendment establishing a parent's right to direct a child's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