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88S40031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on instruction and certain activities regarding sexual orientation or gender identity provided or allowed by school districts, open-enrollment charter schools, and district and charter school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28, Education Code, is amended by adding Section 28.0043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28.0043.</w:t>
      </w:r>
      <w:r>
        <w:rPr>
          <w:u w:val="single"/>
        </w:rPr>
        <w:t xml:space="preserve"> </w:t>
      </w:r>
      <w:r>
        <w:rPr>
          <w:u w:val="single"/>
        </w:rPr>
        <w:t xml:space="preserve"> </w:t>
      </w:r>
      <w:r>
        <w:rPr>
          <w:u w:val="single"/>
        </w:rPr>
        <w:t xml:space="preserve">PROHIBITION ON INSTRUCTION AND CERTAIN ACTIVITIES REGARDING SEXUAL ORIENTATION OR GENDER IDENTITY.  (a)  Except as provided by Subsection (b), a school district, open-enrollment charter school, or district or charter school employee may not provide or allow a third party to provide instruction, guidance, activities, or programming regarding sexual orientation or gender identity to students enrolled in prekindergarten through 12th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student's ability to engage in speech or expressive conduct protected by the First Amendment to the United States Constitution or by Section 8, Article I, Texas Constitution, that does not result in material disruption to school activities;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ability of a person who is authorized by the district to provide physical or mental health-related services to provide the services to a student, subject to any required parental consent.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