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88S40074 PRL-D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legislation increasing expenditures by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Education Code, is amended by adding Section 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LEGISLATION INCREASING EXPENDITURES BY PUBLIC SCHOOLS.  (a)  In this section, "state educational mandate" means a statutory provision or agency rule the implementation of which requires an expenditure by a school district or open-enrollment charter school that would not have been required in the absence of the statutory provision or the rule adopted under that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legislation that imposes a state educational mandate on a school district or open-enrollment charter school and that does not provide for the payment or reimbursement of the required expenditure must also: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the basic allotment under Section 48.051 in an amount sufficient to cover the cost of the increased expenditures required by the legislation;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eliminate one or more existing state educational mandates for which the amount of expenditures required by a district or school under those mandates is at least equal to the amount of expenditures required by the legislation.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school district or open-enrollment charter school is not required to comply with legislation that fails to comply with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proposed piece of legislation related to primary and secondary education, the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whether this section applies to the  legislation;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written notice to the Legislative Budget Board of the agency's determination under Subdivision (1) for the board to include in the impact statement prepared under Section 314.004,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314.004,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impact statement must include the Texas Education Agency's state educational mandate determination provided to the board under Section 1.007,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