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88S40134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Brazoria</w:t>
      </w:r>
      <w:r xml:space="preserve">
        <w:tab wTab="150" tlc="none" cTlc="0"/>
      </w:r>
      <w:r>
        <w:t xml:space="preserve">H.B.</w:t>
      </w:r>
      <w:r xml:space="preserve">
        <w:t> </w:t>
      </w:r>
      <w:r>
        <w:t xml:space="preserve">No.</w:t>
      </w:r>
      <w:r xml:space="preserve">
        <w:t> </w:t>
      </w:r>
      <w:r>
        <w:t xml:space="preserve">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for policies issued to school districts and open-enrollment charter schools from insurance premium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203, Insurance Code, is amended by adding Section 203.003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203.003.</w:t>
      </w:r>
      <w:r>
        <w:rPr>
          <w:u w:val="single"/>
        </w:rPr>
        <w:t xml:space="preserve"> </w:t>
      </w:r>
      <w:r>
        <w:rPr>
          <w:u w:val="single"/>
        </w:rPr>
        <w:t xml:space="preserve"> </w:t>
      </w:r>
      <w:r>
        <w:rPr>
          <w:u w:val="single"/>
        </w:rPr>
        <w:t xml:space="preserve">EXEMPTION FROM PREMIUM TAXES FOR PUBLIC SCHOOL POLICIES.  (a)  Notwithstanding any other law, an insurer is not liable for premium taxes on a policy issued to a school district or open-enrollment charter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qualify for an exemption under this section, the insurer must keep on file a form, signed and dated by an authorized representative of the school district or open-enrollment charter school, affirming that the policy is for a school district or open-enrollment charter school that is eligible to receive funding from the Foundation School Program under Chapter 48, Education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and the commissioner may adopt rules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281.006, Insurance Code, is amended by adding Subsection (a) to read as follows:</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In determining an insurer's taxes or other charges under this subchapter, the comptroller shall consider the insurer to be liable for taxes for which an exemption is provided under Section 203.003 as if that section did not exist.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tax report originally due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