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The commission shall use express lane eligibility by evaluating data received from an applicant under other public assistance programs to determine the applicant's eligibility for coverage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child health plan program a child who is determined to be eligible for the program under this section, except that the child may only be enrolled in the program if the child's parent, legal guardian, or custodial relative affirmatively consents to the enrollment.  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coverage under the child health plan program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child health plan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457.340(e), the commission shall provide to the parent, legal guardian, or custodial relative of a child determined eligible for coverage under the child health plan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child's eligibility for medical assistance, including the recertification of a child's eligibility for medical assistance benefits.  The commission shall use express lane eligibility by evaluating data received from an applicant under other public assistance programs to determine the applicant's eligibility for benefits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medical assistance program a child who is determined to be eligible for the program under this section, except that the child may only be enrolled in the program if the child's parent, legal guardian, or custodial relative affirmatively consents to the enrollment.  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medical assistance benefits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medical assistance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435.917, the commission shall provide to the parent, legal guardian, or custodial relative of a child determined eligible for benefits under the medical assistance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