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88S40083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Isaac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state compression percentage and a school district's maximum compressed tax rate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48.255(b),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state compression percentage is the lower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93 percent, or a lower percentage set by appropriation for a school year;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percentage determined by the following formula:</w:t>
      </w:r>
    </w:p>
    <w:p w:rsidR="003F3435" w:rsidRDefault="0032493E">
      <w:pPr>
        <w:spacing w:line="480" w:lineRule="auto"/>
        <w:jc w:val="center"/>
      </w:pPr>
      <w:r>
        <w:t xml:space="preserve">SCP = PYCP X </w:t>
      </w:r>
      <w:r>
        <w:rPr>
          <w:u w:val="single"/>
        </w:rPr>
        <w:t xml:space="preserve">1.0</w:t>
      </w:r>
      <w:r>
        <w:t xml:space="preserve"> [</w:t>
      </w:r>
      <w:r>
        <w:rPr>
          <w:strike/>
        </w:rPr>
        <w:t xml:space="preserve">1.025</w:t>
      </w:r>
      <w:r>
        <w:t xml:space="preserve">]/(1 + ECPV);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percentage determined under this section for the preceding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48.2551(b),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 xml:space="preserve">
        <w:t> </w:t>
      </w:r>
      <w:r>
        <w:t xml:space="preserve">[</w:t>
      </w:r>
      <w:r>
        <w:rPr>
          <w:strike/>
        </w:rPr>
        <w:t xml:space="preserve">Except as provided by Subsection (c), a</w:t>
      </w:r>
      <w:r>
        <w:t xml:space="preserve">] district's maximum compressed rate ("MCR") is the lesser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rate determined by the following [</w:t>
      </w:r>
      <w:r>
        <w:rPr>
          <w:strike/>
        </w:rPr>
        <w:t xml:space="preserve">applicable</w:t>
      </w:r>
      <w:r>
        <w:t xml:space="preserve">] formula: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"DPV" exceeds "PYDPV" by an amount equal to or greater than 2.5 percent:</w:t>
      </w:r>
      <w:r>
        <w:t xml:space="preserve">]</w:t>
      </w:r>
    </w:p>
    <w:p w:rsidR="003F3435" w:rsidRDefault="0032493E">
      <w:pPr>
        <w:spacing w:line="480" w:lineRule="auto"/>
        <w:jc w:val="center"/>
      </w:pPr>
      <w:r>
        <w:t xml:space="preserve">MCR = [</w:t>
      </w:r>
      <w:r>
        <w:rPr>
          <w:strike/>
        </w:rPr>
        <w:t xml:space="preserve">(1.025</w:t>
      </w:r>
      <w:r>
        <w:t xml:space="preserve">]((PYDPV+E) X PYMCR)[</w:t>
      </w:r>
      <w:r>
        <w:rPr>
          <w:strike/>
        </w:rPr>
        <w:t xml:space="preserve">)</w:t>
      </w:r>
      <w:r>
        <w:t xml:space="preserve">]/DPV;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Paragraph (A) does not apply:</w:t>
      </w:r>
    </w:p>
    <w:p w:rsidR="003F3435" w:rsidRDefault="0032493E">
      <w:pPr>
        <w:spacing w:line="480" w:lineRule="auto"/>
        <w:jc w:val="center"/>
      </w:pPr>
      <w:r>
        <w:t xml:space="preserve">[</w:t>
      </w:r>
      <w:r>
        <w:rPr>
          <w:strike/>
        </w:rPr>
        <w:t xml:space="preserve">MCR = PYMCR; 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product of the state compression percentage, as determined under Section 48.255, for the current tax year, multiplied by $1.00.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This section takes effect only if the constitutional amendment proposed by H.J.R. 2, 88th Legislature, 2nd Called Session, 2023, is approved by the voters.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48.2555(a), Education Code, as effective on approval by the voters of H.J.R. 2, 88th Legislature, 2nd Called Session, 2023,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Notwithstanding any other provision of this title or Chapter 26, Tax Code, for the 2023-2024 school year, the commissioner shall calculate the value of a school district's maximum compressed tax rate by determining the district's maximum compressed rate under Section 48.2551 [</w:t>
      </w:r>
      <w:r>
        <w:rPr>
          <w:strike/>
        </w:rPr>
        <w:t xml:space="preserve">or 48.2552(b), if applicable,</w:t>
      </w:r>
      <w:r>
        <w:t xml:space="preserve">] and reducing the tax rate determined under the applicable section by $0.107.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48.2551(c) and 48.2552, Education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Except as otherwise provided by this Act, this Act takes effect September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