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88S40127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Isaac</w:t>
      </w:r>
      <w:r xml:space="preserve">
        <w:tab wTab="150" tlc="none" cTlc="0"/>
      </w:r>
      <w:r>
        <w:t xml:space="preserve">H.B.</w:t>
      </w:r>
      <w:r xml:space="preserve">
        <w:t> </w:t>
      </w:r>
      <w:r>
        <w:t xml:space="preserve">No.</w:t>
      </w:r>
      <w:r xml:space="preserve">
        <w:t> </w:t>
      </w:r>
      <w:r>
        <w:t xml:space="preserve">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unlawful employment practices with respect to required disclosure of an individual's vaccination status.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 Labor Code, is amended by adding Subchapter H-1 to read as follows:</w:t>
      </w:r>
    </w:p>
    <w:p w:rsidR="003F3435" w:rsidRDefault="0032493E">
      <w:pPr>
        <w:spacing w:line="480" w:lineRule="auto"/>
        <w:jc w:val="center"/>
      </w:pPr>
      <w:r>
        <w:rPr>
          <w:u w:val="single"/>
        </w:rPr>
        <w:t xml:space="preserve">SUBCHAPTER H-1.  PRIVACY OF VACCINATION STATUS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 and any variants of the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"Employer" means a person who employs one or more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21.422.</w:t>
      </w:r>
      <w:r>
        <w:rPr>
          <w:u w:val="single"/>
        </w:rPr>
        <w:t xml:space="preserve"> </w:t>
      </w:r>
      <w:r>
        <w:rPr>
          <w:u w:val="single"/>
        </w:rPr>
        <w:t xml:space="preserve"> </w:t>
      </w:r>
      <w:r>
        <w:rPr>
          <w:u w:val="single"/>
        </w:rPr>
        <w:t xml:space="preserve">RIGHT TO PRIVACY OF VACCINATION STATUS.  (a)  An individual has the right to keep the individual's vaccination status private, including COVID-19 vaccination status, and may not be required to disclose that information to the individual's employer or an employer to whom the individual has applied for an employment position unless the disclosure is required by state or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employer commits an unlawful employment practice if the employer fails or refuses to hire, discharges, or otherwise discriminates against an individual with respect to the compensation or the terms, conditions, or privileges of employment because the individual exercises the right described by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H-1, Chapter 21, Labor Code, as added by this Act, applies only to an unlawful employment practice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