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employee's right to privacy of personal health information;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Labor Code, is amended by adding Chapter 25 to read as follows:</w:t>
      </w:r>
    </w:p>
    <w:p w:rsidR="003F3435" w:rsidRDefault="0032493E">
      <w:pPr>
        <w:spacing w:line="480" w:lineRule="auto"/>
        <w:jc w:val="center"/>
      </w:pPr>
      <w:r>
        <w:rPr>
          <w:u w:val="single"/>
        </w:rPr>
        <w:t xml:space="preserve">CHAPTER 25. PRIVACY OF PERSONAL HEALTH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individual who is employed by an employer for compensation.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"Employer" means a person who employs one or more employees. The term includes a public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25.002.</w:t>
      </w:r>
      <w:r>
        <w:rPr>
          <w:u w:val="single"/>
        </w:rPr>
        <w:t xml:space="preserve"> </w:t>
      </w:r>
      <w:r>
        <w:rPr>
          <w:u w:val="single"/>
        </w:rPr>
        <w:t xml:space="preserve"> </w:t>
      </w:r>
      <w:r>
        <w:rPr>
          <w:u w:val="single"/>
        </w:rPr>
        <w:t xml:space="preserve">RIGHT TO PRIVACY OF PERSONAL HEALTH INFORMATION.  (a) </w:t>
      </w:r>
      <w:r>
        <w:rPr>
          <w:u w:val="single"/>
        </w:rPr>
        <w:t xml:space="preserve"> </w:t>
      </w:r>
      <w:r>
        <w:rPr>
          <w:u w:val="single"/>
        </w:rPr>
        <w:t xml:space="preserve">An employee has the right to keep the employee's personal health information private and is not required to disclose that information to the employee's employer unless the disclosure is required by state or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may not take an adverse employment action or discriminate against an employee who exercises the right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25.003.</w:t>
      </w:r>
      <w:r>
        <w:rPr>
          <w:u w:val="single"/>
        </w:rPr>
        <w:t xml:space="preserve"> </w:t>
      </w:r>
      <w:r>
        <w:rPr>
          <w:u w:val="single"/>
        </w:rPr>
        <w:t xml:space="preserve"> </w:t>
      </w:r>
      <w:r>
        <w:rPr>
          <w:u w:val="single"/>
        </w:rPr>
        <w:t xml:space="preserve">COMPLAINT; ENFORCEMENT.  (a)  An employee aggrieved by a violation of this chapter may file a claim with the commission in the manner prescribed by Chapter 21. A complaint filed under this section is subject to Subchapters E and F, Chapter 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enforce this chapter in accordance with Chapter 21.</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25.004.</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An employer who violates an employee's right prescribed by this chapter is liable for a civil penalty in the amount of $50,000 for each violation. Civil penalties assessed under this chapter shall be deposited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collect the civil penalty imposed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 Labor Code, as added by this Act, applies only to an adverse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legislative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