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elimination of ad valorem taxes and the creation of a joint interim committee on the elimination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the effective date of this section.  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(d)</w:t>
      </w:r>
      <w:r xml:space="preserve">
        <w:t> </w:t>
      </w:r>
      <w:r xml:space="preserve">
        <w:t> </w:t>
      </w:r>
      <w:r>
        <w:t xml:space="preserve">This section takes effect January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"committee" means the joint interim committee on the elimination of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elimination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March 1, 2024.</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of alternative methods of taxation to replace local tax revenue that will be lost when ad valorem taxes are eliminated.</w:t>
      </w:r>
    </w:p>
    <w:p w:rsidR="003F3435" w:rsidRDefault="0032493E">
      <w:pPr>
        <w:spacing w:line="480" w:lineRule="auto"/>
        <w:ind w:firstLine="720"/>
        <w:jc w:val="both"/>
      </w:pPr>
      <w:r>
        <w:t xml:space="preserve">(h)</w:t>
      </w:r>
      <w:r xml:space="preserve">
        <w:t> </w:t>
      </w:r>
      <w:r xml:space="preserve">
        <w:t> </w:t>
      </w:r>
      <w:r>
        <w:t xml:space="preserve">For each alternative method of taxation considered by the committee, 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the proposed alternative tax;</w:t>
      </w:r>
    </w:p>
    <w:p w:rsidR="003F3435" w:rsidRDefault="0032493E">
      <w:pPr>
        <w:spacing w:line="480" w:lineRule="auto"/>
        <w:ind w:firstLine="1440"/>
        <w:jc w:val="both"/>
      </w:pPr>
      <w:r>
        <w:t xml:space="preserve">(2)</w:t>
      </w:r>
      <w:r xml:space="preserve">
        <w:t> </w:t>
      </w:r>
      <w:r xml:space="preserve">
        <w:t> </w:t>
      </w:r>
      <w:r>
        <w:t xml:space="preserve">determine the average tax rate for the proposed alternative tax imposed by each type of political subdivision that would be necessary to generate the same amount of tax revenue as the amount of tax revenue lost as a result of the elimination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the proposed alternative tax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the proposed alternative tax would require redistribution to offset disparities in available local tax revenue as a result of the elimination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elimination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November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February 7,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