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88S40036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Guillen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76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consideration of distinction designations in the assignment of district and campus performance ratings under the public school accountability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39.054, Education Code, is amended by adding Subsection (a-6)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purposes of assigning an overall performance rating for a district or campus under Subsection (a), the commissioner by rule shall adopt a method for evaluating district or campus performance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provides for: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assignment of a point value to each distinction designation awarded to a district or campus under Subchapter G; and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consideration of the number of points earned by a district or campus under Paragraph (A);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ensures that the assigned weight of the total point value for distinction designations does not account for more than seven percent of the overall performance rating.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2024-2025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76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