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of Cameron</w:t>
      </w:r>
      <w:r xml:space="preserve">
        <w:tab wTab="150" tlc="none" cTlc="0"/>
      </w:r>
      <w:r>
        <w:t xml:space="preserve">H.B.</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border enforcement coordination program;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421, Government Code, is amended by adding Subchapter G to read as follows:</w:t>
      </w:r>
    </w:p>
    <w:p w:rsidR="003F3435" w:rsidRDefault="0032493E">
      <w:pPr>
        <w:spacing w:line="480" w:lineRule="auto"/>
        <w:jc w:val="center"/>
      </w:pPr>
      <w:r>
        <w:rPr>
          <w:u w:val="single"/>
        </w:rPr>
        <w:t xml:space="preserve">SUBCHAPTER G.  TEXAS BORDER ENFORCEMENT COORDINATION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county" means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the United Mexican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that borders the United Mexican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Anti-Gang Center" means a Texas Anti-Gang Center that is wholly or partly funded through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421.102.</w:t>
      </w:r>
      <w:r>
        <w:rPr>
          <w:u w:val="single"/>
        </w:rPr>
        <w:t xml:space="preserve"> </w:t>
      </w:r>
      <w:r>
        <w:rPr>
          <w:u w:val="single"/>
        </w:rPr>
        <w:t xml:space="preserve"> </w:t>
      </w:r>
      <w:r>
        <w:rPr>
          <w:u w:val="single"/>
        </w:rPr>
        <w:t xml:space="preserve">BORDER COUNTY SHERIFFS' LIAISON AND TEXAS ANTI-GANG CENTERS' LIAISON.  (a)  The governor shall appoint the sheriff of a border county to serve as the border county sheriffs' liaison.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appoint the executive head of a Texas Anti-Gang Center to serve as the Texas Anti-Gang Centers' liaison.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liaison appointed under Subsection (a) or (b) serves a two-year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liaison appointed under Subsection (a) or (b) may designate another individual to act as the liaison.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liaison appointed under this section shall work with each other and with the following individual and entities regarding interagency coordination, communication, and cooperation on border enforcement-related matters and activities: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Special Advisor to the Governor on Border Matters;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Public Safety;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Military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421.103.</w:t>
      </w:r>
      <w:r>
        <w:rPr>
          <w:u w:val="single"/>
        </w:rPr>
        <w:t xml:space="preserve"> </w:t>
      </w:r>
      <w:r>
        <w:rPr>
          <w:u w:val="single"/>
        </w:rPr>
        <w:t xml:space="preserve"> </w:t>
      </w:r>
      <w:r>
        <w:rPr>
          <w:u w:val="single"/>
        </w:rPr>
        <w:t xml:space="preserve">INTEROPERABLE COMMUNICATION SYSTEM.  Each sheriff's department for a border county and each Texas Anti-Gang Center shall, with money appropriated by the state, acquire the technology necessary to implement, and shall implement, a multimedia interoperable communication system that enables real-time communication and sharing of information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sheriff's department for a border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Texas Anti-Gang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Department of Public Safety;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Military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421.104.</w:t>
      </w:r>
      <w:r>
        <w:rPr>
          <w:u w:val="single"/>
        </w:rPr>
        <w:t xml:space="preserve"> </w:t>
      </w:r>
      <w:r>
        <w:rPr>
          <w:u w:val="single"/>
        </w:rPr>
        <w:t xml:space="preserve"> </w:t>
      </w:r>
      <w:r>
        <w:rPr>
          <w:u w:val="single"/>
        </w:rPr>
        <w:t xml:space="preserve">TEXAS BORDER ENFORCEMENT VOLUNTEER PROGRAM.  (a)  This section applies only to a sheriff's department for a county that borders the United Mexican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of each county to which this section applies shall establish and supervise in the county the Texas border enforcement volunteer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sheriff shall appoint volunteers for the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sheriff's department in monitoring the portion of the Texas-Mexico border adjacent to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unlawful entry of individuals or objects at a location other than a port of entry;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communicate the location of the unlawful entry and other information necessary to assist the sheriff's department in arresting or detaining the individual or interdicting the object.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sheriff may not appoint an individual to be a volunteer unless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a resident of the county for at least the four years preceding the date of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of a felony;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21 years of 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determined by the sheriff to be an individual of upstanding moral character in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volunteer may not arrest or detain an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volunteer shall carry and display identification that states the volunteer's name and that the volunteer has been appointed as a volunteer for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volunteer is not entitled to compensation for any act performed in the course of the volunteer's duties under the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sheriff's department may provide a volunteer with equipment, including equipment that enables the volunteer to share information through the interoperable communication system implemented under Section 421.103.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amount of $19,500,000 is appropriated from the general revenue fund to the comptroller of public accounts for the purpose of immediately distributing $500,000 to each sheriff's department for a border county as defined by Section 421.101, Government Code, as added by this Act, and each Texas Anti-Gang Center, as defined by that section, for the purposes described by Section 421.103, Government Code, as added by this Act; and</w:t>
      </w:r>
    </w:p>
    <w:p w:rsidR="003F3435" w:rsidRDefault="0032493E">
      <w:pPr>
        <w:spacing w:line="480" w:lineRule="auto"/>
        <w:ind w:firstLine="1440"/>
        <w:jc w:val="both"/>
      </w:pPr>
      <w:r>
        <w:t xml:space="preserve">(2)</w:t>
      </w:r>
      <w:r xml:space="preserve">
        <w:t> </w:t>
      </w:r>
      <w:r xml:space="preserve">
        <w:t> </w:t>
      </w:r>
      <w:r>
        <w:t xml:space="preserve">the amount of $7,000,000 is appropriated from the general revenue fund to the comptroller of public accounts for the purpose of immediately distributing $500,000 to each sheriff's department for a county to which Section 421.104, Government Code, as added by this Act, applies for the purposes described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2024, the governor shall appoint a border county sheriffs' liaison and a Texas Anti-Gang Centers' liaison as required by Section 421.102, Government Code, as added by this Act, to begin terms of office that begin on March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August 1, 2024, a sheriff's department for a border county as defined by Section 421.101, Government Code, as added by this Act, shall implement the interoperable communication system as required by Section 421.103,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August 1, 2024, the sheriff for a county to which Section 421.104, Government Code, as added by this Act, applies shall establish the Texas border enforcement volunteer program in that county as required by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